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spacing w:lineRule="auto" w:line="480"/>
        <w:rPr>
          <w:rFonts w:ascii="Times New Roman" w:hAnsi="Times New Roman" w:cs="Times New Roman"/>
        </w:rPr>
      </w:pPr>
      <w:r>
        <w:rPr/>
        <w:object>
          <v:shape id="ole_rId2" style="width:448.5pt;height:68.25pt" o:ole="">
            <v:imagedata r:id="rId3" o:title=""/>
          </v:shape>
          <o:OLEObject Type="Embed" ProgID="Word.Picture.8" ShapeID="ole_rId2" DrawAspect="Content" ObjectID="_1659674631" r:id="rId2"/>
        </w:object>
      </w:r>
    </w:p>
    <w:p>
      <w:pPr>
        <w:pStyle w:val="Normal"/>
        <w:spacing w:before="0" w:after="0"/>
        <w:jc w:val="center"/>
        <w:rPr>
          <w:b/>
          <w:b/>
          <w:bCs/>
          <w:color w:val="C0C0C0"/>
          <w:sz w:val="28"/>
          <w:szCs w:val="18"/>
          <w:lang w:val="en-GB"/>
        </w:rPr>
      </w:pPr>
      <w:r>
        <w:rPr>
          <w:b/>
          <w:bCs/>
          <w:color w:val="C0C0C0"/>
          <w:sz w:val="28"/>
          <w:szCs w:val="18"/>
          <w:lang w:val="en-GB"/>
        </w:rPr>
        <w:t>Kabinet grafike</w:t>
      </w:r>
    </w:p>
    <w:p>
      <w:pPr>
        <w:pStyle w:val="Normal"/>
        <w:spacing w:before="0" w:after="0"/>
        <w:jc w:val="center"/>
        <w:rPr/>
      </w:pPr>
      <w:r>
        <w:rPr>
          <w:b/>
          <w:bCs/>
          <w:color w:val="C0C0C0"/>
          <w:szCs w:val="18"/>
          <w:lang w:val="en-GB"/>
        </w:rPr>
        <w:t>Department of prints and drawings</w:t>
      </w:r>
    </w:p>
    <w:p>
      <w:pPr>
        <w:pStyle w:val="Tijeloteksta"/>
        <w:spacing w:lineRule="auto" w:line="4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ijeloteksta"/>
        <w:spacing w:lineRule="auto" w:line="4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izložba: </w:t>
      </w:r>
      <w:r>
        <w:rPr>
          <w:rFonts w:cs="Times New Roman" w:ascii="Times New Roman" w:hAnsi="Times New Roman"/>
          <w:b/>
          <w:i/>
        </w:rPr>
        <w:t>Giovanni Battista Piranesi i vedutistički odjeci / Iz fundusa Kabineta grafike HAZU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virtualna</w:t>
      </w:r>
      <w:r>
        <w:rPr>
          <w:rFonts w:cs="Times New Roman" w:ascii="Times New Roman" w:hAnsi="Times New Roman"/>
        </w:rPr>
        <w:t xml:space="preserve"> izložba Kabineta grafike HAZU</w:t>
      </w:r>
    </w:p>
    <w:p>
      <w:pPr>
        <w:pStyle w:val="Tijeloteksta"/>
        <w:spacing w:lineRule="auto" w:line="480"/>
        <w:rPr/>
      </w:pPr>
      <w:hyperlink r:id="rId4">
        <w:r>
          <w:rPr>
            <w:rStyle w:val="Internetskapoveznica"/>
          </w:rPr>
          <w:t>https://piranesi.kabinet-grafike.hazu.hr</w:t>
        </w:r>
      </w:hyperlink>
    </w:p>
    <w:p>
      <w:pPr>
        <w:pStyle w:val="Tijeloteksta"/>
        <w:spacing w:lineRule="auto" w:line="4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vrijeme održavanja: siječanj</w:t>
      </w:r>
    </w:p>
    <w:p>
      <w:pPr>
        <w:pStyle w:val="Tijeloteksta"/>
        <w:spacing w:lineRule="auto" w:line="4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autorica izložbe: Ana Petković Basletić, viša kustosica</w:t>
      </w:r>
    </w:p>
    <w:p>
      <w:pPr>
        <w:pStyle w:val="Tijeloteksta"/>
        <w:spacing w:lineRule="auto" w:line="4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Muzejske institucije tijekom 2020. i 2021. godine nizom pojedinačnih međunarodnih memorijalnih izložbi od Rima i Londona preko Bassana del Grappa, Venecije, Rotterdama, Kopenhagena i Berlina pa sve do New Yorka obilježava tristotu godišnjicu rođenja Giovannija Battiste Piranesija (</w:t>
      </w:r>
      <w:r>
        <w:rPr>
          <w:rFonts w:eastAsia="Times New Roman" w:cs="Times New Roman" w:ascii="Times New Roman" w:hAnsi="Times New Roman"/>
          <w:lang w:eastAsia="hr-HR"/>
        </w:rPr>
        <w:t>1720. – 1778.</w:t>
      </w:r>
      <w:r>
        <w:rPr>
          <w:rFonts w:cs="Times New Roman" w:ascii="Times New Roman" w:hAnsi="Times New Roman"/>
        </w:rPr>
        <w:t xml:space="preserve">), posljednjeg velikog starog majstora talijanske grafike i najvećega grafičkog genija nakon Rembrandta. Rođendanskom jubileju pridružuje se i Kabinet grafike Hrvatske akademije znanosti i umjetnosti izložbom iz fundusa </w:t>
      </w:r>
      <w:r>
        <w:rPr>
          <w:rFonts w:cs="Times New Roman" w:ascii="Times New Roman" w:hAnsi="Times New Roman"/>
          <w:i/>
        </w:rPr>
        <w:t>Giovanni Battista Piranesi i vedutistički odjeci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cs="Times New Roman" w:ascii="Times New Roman" w:hAnsi="Times New Roman"/>
        </w:rPr>
        <w:t xml:space="preserve">Slavljenička prigoda potaknula nas je da se posvetimo bakropisima obitelji Piranesi, jednoj od rijetko većih majstorskih sastavnica Stare zbirke i zbirke 19. stoljeća. U Kabinetu grafike čuva se ukupno četrdeset i devet grafika Piranesijevīh, od kojih je dvanaestak Giambattistinih, dok su ostali radovi njegova sina Francesca. U nedostatku cjelovitog majstorova opusa i njegovih integralnih cjelina, izložba </w:t>
      </w:r>
      <w:r>
        <w:rPr>
          <w:rFonts w:eastAsia="Times New Roman" w:cs="Times New Roman" w:ascii="Times New Roman" w:hAnsi="Times New Roman"/>
          <w:lang w:eastAsia="hr-HR"/>
        </w:rPr>
        <w:t xml:space="preserve">umjesto monografskog pristupa širi kontekst predstavljanja odjecima Giambattistinih djela kako u radovima njegova sina Francesca tako i unutar grafičke produkcije veduta drugih grafičara na prijelazu iz 18. u 19. stoljeće, nastalih za tržišne potrebe </w:t>
      </w:r>
      <w:r>
        <w:rPr>
          <w:rFonts w:eastAsia="Times New Roman" w:cs="Times New Roman" w:ascii="Times New Roman" w:hAnsi="Times New Roman"/>
          <w:i/>
          <w:lang w:eastAsia="hr-HR"/>
        </w:rPr>
        <w:t>Grand Toura</w:t>
      </w:r>
      <w:r>
        <w:rPr>
          <w:rFonts w:eastAsia="Times New Roman" w:cs="Times New Roman" w:ascii="Times New Roman" w:hAnsi="Times New Roman"/>
          <w:lang w:eastAsia="hr-HR"/>
        </w:rPr>
        <w:t xml:space="preserve"> i ranih turista. Bez obvezujuće ukupnosti stvaralaštva, fokusiranim pogledom izbliza na naše listove antologijske serije </w:t>
      </w:r>
      <w:r>
        <w:rPr>
          <w:rFonts w:eastAsia="Times New Roman" w:cs="Times New Roman" w:ascii="Times New Roman" w:hAnsi="Times New Roman"/>
          <w:i/>
          <w:lang w:eastAsia="hr-HR"/>
        </w:rPr>
        <w:t>Vedute di Roma</w:t>
      </w:r>
      <w:r>
        <w:rPr>
          <w:rFonts w:eastAsia="Times New Roman" w:cs="Times New Roman" w:ascii="Times New Roman" w:hAnsi="Times New Roman"/>
          <w:lang w:eastAsia="hr-HR"/>
        </w:rPr>
        <w:t xml:space="preserve"> (od 1740-ih do smrti) te rasute listove serijâ </w:t>
      </w:r>
      <w:r>
        <w:rPr>
          <w:rFonts w:cs="Times New Roman" w:ascii="Times New Roman" w:hAnsi="Times New Roman"/>
          <w:i/>
        </w:rPr>
        <w:t>Antichità Romane de' Tempi della Repubblica e de' primi Imperatori</w:t>
      </w:r>
      <w:r>
        <w:rPr>
          <w:rFonts w:cs="Times New Roman" w:ascii="Times New Roman" w:hAnsi="Times New Roman"/>
        </w:rPr>
        <w:t xml:space="preserve"> (1748.), </w:t>
      </w:r>
      <w:r>
        <w:rPr>
          <w:rFonts w:cs="Times New Roman" w:ascii="Times New Roman" w:hAnsi="Times New Roman"/>
          <w:i/>
        </w:rPr>
        <w:t>Campius Martius Antiquae Urbis Romae</w:t>
      </w:r>
      <w:r>
        <w:rPr>
          <w:rFonts w:cs="Times New Roman" w:ascii="Times New Roman" w:hAnsi="Times New Roman"/>
        </w:rPr>
        <w:t xml:space="preserve"> (1762.), </w:t>
      </w:r>
      <w:r>
        <w:rPr>
          <w:rFonts w:cs="Times New Roman" w:ascii="Times New Roman" w:hAnsi="Times New Roman"/>
          <w:i/>
        </w:rPr>
        <w:t>Vasi, Candelabri, Cippi, sarcofagi, tripodi, lucerne ed ornamenti antichi</w:t>
      </w:r>
      <w:r>
        <w:rPr>
          <w:rFonts w:cs="Times New Roman" w:ascii="Times New Roman" w:hAnsi="Times New Roman"/>
        </w:rPr>
        <w:t xml:space="preserve"> (1778.) i </w:t>
      </w:r>
      <w:r>
        <w:rPr>
          <w:rFonts w:cs="Times New Roman" w:ascii="Times New Roman" w:hAnsi="Times New Roman"/>
          <w:i/>
        </w:rPr>
        <w:t>Différentes vues de quelques Restes de trois grands Edifices qui subsistent encore dans le milieu de l' ancienne Ville de Pesto autrement Posidonia qui est située dans la Lucania</w:t>
      </w:r>
      <w:r>
        <w:rPr>
          <w:rFonts w:cs="Times New Roman" w:ascii="Times New Roman" w:hAnsi="Times New Roman"/>
        </w:rPr>
        <w:t xml:space="preserve"> (1778.), produbljujemo katalošku i interpretativnu obradu radova uspostavljajući kronološke granice te trasiramo genezu umjetničkog rukopisa u vremenskoj progresiji. Sistematizacijom listova unutar stvaralaštva i kasnijih kalkografskih izdanja te konteksta vremena ocrtavamo fizionomiju autorskog opusa kroz tri ključne Piranesijeve preokupacije – arheologiju, vedutizam i primijenjenu umjetnost, ali se i dotičemo složenog pitanja difuzije i brojnosti naklada koje nadilaze Piranesijev životni vijek, pritom upozoravajući na problematiku kvalitete naknadnih izdanja te aporije autorstva oca i sina u kasnijim serijama. Izložbenu jezgru reprezentativnih grafičkih listova Giovannija Battiste Piranesija proširili smo na odabrane grafike iz serije </w:t>
      </w:r>
      <w:r>
        <w:rPr>
          <w:rFonts w:eastAsia="Times New Roman" w:cs="Times New Roman" w:ascii="Times New Roman" w:hAnsi="Times New Roman"/>
          <w:i/>
          <w:lang w:eastAsia="hr-HR"/>
        </w:rPr>
        <w:t>Antiquités de la Grande Gréce</w:t>
      </w:r>
      <w:r>
        <w:rPr>
          <w:rFonts w:cs="Times New Roman" w:ascii="Times New Roman" w:hAnsi="Times New Roman"/>
        </w:rPr>
        <w:t xml:space="preserve"> (1804. – 1807.) njegova sina Francesca, najbližeg Giovannijeva sljedbenika i nastavljača, te na desetak </w:t>
      </w:r>
      <w:r>
        <w:rPr>
          <w:rFonts w:eastAsia="Times New Roman" w:cs="Times New Roman" w:ascii="Times New Roman" w:hAnsi="Times New Roman"/>
          <w:lang w:eastAsia="hr-HR"/>
        </w:rPr>
        <w:t xml:space="preserve">ostvarenja nekolicine talijanskih klasicista u kojima se prepoznaju odjeci vedutističkih kompozicija velikog majstora. Proširenjem referencijalnog okvira na sina i rimske vedutiste s jedne strane otvaramo pitanje odnosa i valorizacije Francescova djela u sjeni oca, dok s druge kontekstualiziramo kulturološki fenomen </w:t>
      </w:r>
      <w:r>
        <w:rPr>
          <w:rFonts w:eastAsia="Times New Roman" w:cs="Times New Roman" w:ascii="Times New Roman" w:hAnsi="Times New Roman"/>
          <w:i/>
          <w:lang w:eastAsia="hr-HR"/>
        </w:rPr>
        <w:t>Grand Toura</w:t>
      </w:r>
      <w:r>
        <w:rPr>
          <w:rFonts w:eastAsia="Times New Roman" w:cs="Times New Roman" w:ascii="Times New Roman" w:hAnsi="Times New Roman"/>
          <w:lang w:eastAsia="hr-HR"/>
        </w:rPr>
        <w:t>, kao i sretan usud kultnih veduta nenadmašnog Giovannija Battiste Piranesija.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Ana Petković Basletić</w:t>
      </w:r>
    </w:p>
    <w:p>
      <w:pPr>
        <w:pStyle w:val="Normal"/>
        <w:spacing w:lineRule="auto" w:line="240" w:before="240" w:after="0"/>
        <w:rPr>
          <w:b/>
          <w:b/>
          <w:bCs/>
          <w:color w:val="C0C0C0"/>
          <w:sz w:val="18"/>
        </w:rPr>
      </w:pPr>
      <w:r>
        <w:rPr>
          <w:b/>
          <w:bCs/>
          <w:color w:val="C0C0C0"/>
          <w:sz w:val="18"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  <w:color w:val="C0C0C0"/>
          <w:sz w:val="18"/>
        </w:rPr>
        <w:t xml:space="preserve">A. Hebranga 1, 10000 Zagreb,   tel/fax. 00 385 1 48 95 390;      </w:t>
      </w:r>
      <w:r>
        <w:rPr>
          <w:b/>
          <w:bCs/>
          <w:color w:val="C0C0C0"/>
          <w:sz w:val="18"/>
          <w:szCs w:val="18"/>
          <w:lang w:val="de-DE"/>
        </w:rPr>
        <w:t xml:space="preserve">e-mail: </w:t>
      </w:r>
      <w:r>
        <w:fldChar w:fldCharType="begin"/>
      </w:r>
      <w:r>
        <w:rPr>
          <w:rStyle w:val="Internetskapoveznica"/>
          <w:sz w:val="18"/>
          <w:b/>
          <w:szCs w:val="18"/>
          <w:bCs/>
        </w:rPr>
        <w:instrText> HYPERLINK "mailto:kabgraf" \l "hazu.hr"</w:instrText>
      </w:r>
      <w:r>
        <w:rPr>
          <w:rStyle w:val="Internetskapoveznica"/>
          <w:sz w:val="18"/>
          <w:b/>
          <w:szCs w:val="18"/>
          <w:bCs/>
        </w:rPr>
        <w:fldChar w:fldCharType="separate"/>
      </w:r>
      <w:r>
        <w:rPr>
          <w:rStyle w:val="Internetskapoveznica"/>
          <w:b/>
          <w:bCs/>
          <w:color w:val="C0C0C0"/>
          <w:sz w:val="18"/>
          <w:szCs w:val="18"/>
          <w:lang w:val="de-DE"/>
        </w:rPr>
        <w:t>kabgraf</w:t>
      </w:r>
      <w:r>
        <w:rPr>
          <w:rStyle w:val="Internetskapoveznica"/>
          <w:sz w:val="18"/>
          <w:b/>
          <w:szCs w:val="18"/>
          <w:bCs/>
        </w:rPr>
        <w:fldChar w:fldCharType="end"/>
      </w:r>
      <w:r>
        <w:rPr>
          <w:rStyle w:val="Internetskapoveznica"/>
          <w:rFonts w:eastAsia="Arial" w:cs="Arial" w:ascii="Arial" w:hAnsi="Arial"/>
          <w:b/>
          <w:bCs/>
          <w:color w:val="C0C0C0"/>
          <w:sz w:val="18"/>
          <w:szCs w:val="18"/>
        </w:rPr>
        <w:t>@</w:t>
      </w:r>
      <w:r>
        <w:rPr>
          <w:rStyle w:val="Internetskapoveznica"/>
          <w:b/>
          <w:bCs/>
          <w:color w:val="C0C0C0"/>
          <w:sz w:val="18"/>
          <w:szCs w:val="18"/>
          <w:lang w:val="de-DE"/>
        </w:rPr>
        <w:t>hazu.hr</w:t>
      </w:r>
      <w:r>
        <w:rPr>
          <w:b/>
          <w:bCs/>
          <w:color w:val="C0C0C0"/>
          <w:sz w:val="18"/>
          <w:szCs w:val="18"/>
          <w:lang w:val="de-DE"/>
        </w:rPr>
        <w:t xml:space="preserve">,   </w:t>
      </w:r>
      <w:hyperlink r:id="rId5">
        <w:r>
          <w:rPr>
            <w:rStyle w:val="Internetskapoveznica"/>
            <w:b/>
            <w:bCs/>
            <w:color w:val="C0C0C0"/>
            <w:sz w:val="18"/>
            <w:szCs w:val="18"/>
            <w:lang w:val="de-DE"/>
          </w:rPr>
          <w:t>www.kabinet-grafike.hazu.hr</w:t>
        </w:r>
      </w:hyperlink>
    </w:p>
    <w:p>
      <w:pPr>
        <w:pStyle w:val="Normal"/>
        <w:spacing w:lineRule="auto" w:line="240" w:before="0" w:after="0"/>
        <w:jc w:val="center"/>
        <w:rPr/>
      </w:pPr>
      <w:r>
        <w:rPr>
          <w:color w:val="C0C0C0"/>
          <w:sz w:val="18"/>
          <w:lang w:val="en-GB"/>
        </w:rPr>
        <w:t>OIB 61989185242;   MB 3205207</w:t>
      </w:r>
    </w:p>
    <w:sectPr>
      <w:type w:val="nextPage"/>
      <w:pgSz w:w="11906" w:h="16838"/>
      <w:pgMar w:left="1417" w:right="141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2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085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qFormat/>
    <w:rsid w:val="00a80858"/>
    <w:rPr>
      <w:sz w:val="20"/>
      <w:szCs w:val="20"/>
    </w:rPr>
  </w:style>
  <w:style w:type="character" w:styleId="Sidrofusnote">
    <w:name w:val="Sidro fusnot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80858"/>
    <w:rPr>
      <w:vertAlign w:val="superscript"/>
    </w:rPr>
  </w:style>
  <w:style w:type="character" w:styleId="BodyTextChar" w:customStyle="1">
    <w:name w:val="Body Text Char"/>
    <w:basedOn w:val="DefaultParagraphFont"/>
    <w:link w:val="BodyText"/>
    <w:semiHidden/>
    <w:qFormat/>
    <w:rsid w:val="00583947"/>
    <w:rPr>
      <w:rFonts w:ascii="Arial" w:hAnsi="Arial" w:eastAsia="Times New Roman" w:cs="Arial"/>
      <w:sz w:val="24"/>
      <w:szCs w:val="24"/>
    </w:rPr>
  </w:style>
  <w:style w:type="character" w:styleId="Internetskapoveznica">
    <w:name w:val="Internetska poveznica"/>
    <w:basedOn w:val="DefaultParagraphFont"/>
    <w:semiHidden/>
    <w:unhideWhenUsed/>
    <w:rsid w:val="00583947"/>
    <w:rPr>
      <w:color w:val="0000FF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b/>
      <w:bCs/>
      <w:color w:val="C0C0C0"/>
      <w:sz w:val="18"/>
      <w:szCs w:val="18"/>
      <w:lang w:val="de-DE"/>
    </w:rPr>
  </w:style>
  <w:style w:type="character" w:styleId="ListLabel3">
    <w:name w:val="ListLabel 3"/>
    <w:qFormat/>
    <w:rPr>
      <w:rFonts w:ascii="Arial" w:hAnsi="Arial" w:eastAsia="Arial" w:cs="Arial"/>
      <w:b/>
      <w:bCs/>
      <w:color w:val="C0C0C0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link w:val="BodyTextChar"/>
    <w:semiHidden/>
    <w:rsid w:val="00583947"/>
    <w:pPr>
      <w:spacing w:lineRule="auto" w:line="360" w:before="0" w:after="0"/>
      <w:ind w:right="-57" w:hanging="0"/>
      <w:jc w:val="both"/>
    </w:pPr>
    <w:rPr>
      <w:rFonts w:ascii="Arial" w:hAnsi="Arial" w:eastAsia="Times New Roman" w:cs="Arial"/>
      <w:sz w:val="24"/>
      <w:szCs w:val="24"/>
    </w:rPr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Fusnota">
    <w:name w:val="Footnote Text"/>
    <w:basedOn w:val="Normal"/>
    <w:link w:val="FootnoteTextChar"/>
    <w:uiPriority w:val="99"/>
    <w:unhideWhenUsed/>
    <w:rsid w:val="00a80858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https://piranesi.kabinet-grafike.hazu.hr/" TargetMode="External"/><Relationship Id="rId5" Type="http://schemas.openxmlformats.org/officeDocument/2006/relationships/hyperlink" Target="http://www.kabinet-grafike.hazu.hr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LibreOffice/6.1.3.2$Windows_X86_64 LibreOffice_project/86daf60bf00efa86ad547e59e09d6bb77c699acb</Application>
  <Pages>1</Pages>
  <Words>464</Words>
  <Characters>3097</Characters>
  <CharactersWithSpaces>3564</CharactersWithSpaces>
  <Paragraphs>13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2020-11-06T09:16:00Z</dcterms:created>
  <dc:creator>Maja</dc:creator>
  <dc:description/>
  <dc:language>hr-HR</dc:language>
  <cp:lastModifiedBy>Tanja Lisec</cp:lastModifiedBy>
  <dcterms:modified xsi:type="dcterms:W3CDTF">2021-01-28T11:25:00Z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