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13E" w:rsidRPr="007D413E" w:rsidRDefault="007D413E" w:rsidP="007D413E">
      <w:pPr>
        <w:tabs>
          <w:tab w:val="left" w:pos="284"/>
          <w:tab w:val="center" w:pos="4111"/>
          <w:tab w:val="right" w:pos="8505"/>
        </w:tabs>
        <w:overflowPunct/>
        <w:autoSpaceDE/>
        <w:autoSpaceDN/>
        <w:adjustRightInd/>
        <w:spacing w:after="120"/>
        <w:textAlignment w:val="auto"/>
        <w:rPr>
          <w:rFonts w:ascii="Verdana" w:hAnsi="Verdana"/>
          <w:b/>
          <w:sz w:val="22"/>
          <w:szCs w:val="22"/>
          <w:lang w:eastAsia="en-US"/>
        </w:rPr>
      </w:pPr>
      <w:r w:rsidRPr="007D413E">
        <w:rPr>
          <w:rFonts w:ascii="Verdana" w:hAnsi="Verdana"/>
          <w:b/>
          <w:sz w:val="22"/>
          <w:szCs w:val="22"/>
          <w:lang w:eastAsia="en-US"/>
        </w:rPr>
        <w:t>POZIV ZA MEDIJE</w:t>
      </w:r>
    </w:p>
    <w:p w:rsidR="007D413E" w:rsidRPr="007D413E" w:rsidRDefault="007D413E" w:rsidP="007D413E">
      <w:pPr>
        <w:keepNext/>
        <w:keepLines/>
        <w:overflowPunct/>
        <w:autoSpaceDE/>
        <w:autoSpaceDN/>
        <w:adjustRightInd/>
        <w:spacing w:after="120" w:line="276" w:lineRule="auto"/>
        <w:jc w:val="center"/>
        <w:textAlignment w:val="auto"/>
        <w:outlineLvl w:val="0"/>
        <w:rPr>
          <w:rFonts w:ascii="Candara" w:eastAsia="Calibri" w:hAnsi="Candara"/>
          <w:b/>
          <w:bCs/>
          <w:color w:val="0F243E"/>
          <w:sz w:val="28"/>
          <w:szCs w:val="28"/>
          <w:lang w:eastAsia="en-US"/>
        </w:rPr>
      </w:pPr>
    </w:p>
    <w:p w:rsidR="007D413E" w:rsidRPr="007D413E" w:rsidRDefault="007D413E" w:rsidP="007D413E">
      <w:pPr>
        <w:keepNext/>
        <w:keepLines/>
        <w:overflowPunct/>
        <w:autoSpaceDE/>
        <w:autoSpaceDN/>
        <w:adjustRightInd/>
        <w:spacing w:after="120" w:line="276" w:lineRule="auto"/>
        <w:jc w:val="center"/>
        <w:textAlignment w:val="auto"/>
        <w:outlineLvl w:val="0"/>
        <w:rPr>
          <w:rFonts w:ascii="Candara" w:eastAsia="Calibri" w:hAnsi="Candara"/>
          <w:b/>
          <w:bCs/>
          <w:color w:val="0F243E"/>
          <w:sz w:val="28"/>
          <w:szCs w:val="28"/>
          <w:lang w:eastAsia="en-US"/>
        </w:rPr>
      </w:pPr>
      <w:r w:rsidRPr="007D413E">
        <w:rPr>
          <w:rFonts w:ascii="Candara" w:eastAsia="Calibri" w:hAnsi="Candara"/>
          <w:b/>
          <w:bCs/>
          <w:color w:val="0F243E"/>
          <w:sz w:val="28"/>
          <w:szCs w:val="28"/>
          <w:lang w:eastAsia="en-US"/>
        </w:rPr>
        <w:t>HRVATSKA AKADEMIJA ZNANOSTI I UMJETNOSTI</w:t>
      </w:r>
    </w:p>
    <w:p w:rsidR="007D413E" w:rsidRPr="007D413E" w:rsidRDefault="007D413E" w:rsidP="007D413E">
      <w:pPr>
        <w:keepNext/>
        <w:keepLines/>
        <w:overflowPunct/>
        <w:autoSpaceDE/>
        <w:autoSpaceDN/>
        <w:adjustRightInd/>
        <w:spacing w:after="200" w:line="276" w:lineRule="auto"/>
        <w:jc w:val="center"/>
        <w:textAlignment w:val="auto"/>
        <w:outlineLvl w:val="0"/>
        <w:rPr>
          <w:rFonts w:ascii="Candara" w:eastAsia="Calibri" w:hAnsi="Candara"/>
          <w:b/>
          <w:bCs/>
          <w:color w:val="0F243E"/>
          <w:sz w:val="28"/>
          <w:szCs w:val="28"/>
          <w:lang w:eastAsia="en-US"/>
        </w:rPr>
      </w:pPr>
      <w:r w:rsidRPr="007D413E">
        <w:rPr>
          <w:rFonts w:ascii="Candara" w:eastAsia="Calibri" w:hAnsi="Candara"/>
          <w:b/>
          <w:bCs/>
          <w:color w:val="0F243E"/>
          <w:sz w:val="28"/>
          <w:szCs w:val="28"/>
          <w:lang w:eastAsia="en-US"/>
        </w:rPr>
        <w:t>RAZRED ZA FILOLOŠKE ZNANOSTI</w:t>
      </w:r>
    </w:p>
    <w:p w:rsidR="007D413E" w:rsidRPr="007D413E" w:rsidRDefault="007D413E" w:rsidP="007D413E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Cambria" w:eastAsia="Calibri" w:hAnsi="Cambria"/>
          <w:iCs/>
          <w:color w:val="808080"/>
          <w:sz w:val="22"/>
          <w:szCs w:val="24"/>
          <w:lang w:eastAsia="en-US"/>
        </w:rPr>
      </w:pPr>
      <w:r w:rsidRPr="007D413E">
        <w:rPr>
          <w:rFonts w:ascii="Cambria" w:eastAsia="Calibri" w:hAnsi="Cambria"/>
          <w:iCs/>
          <w:color w:val="808080"/>
          <w:sz w:val="22"/>
          <w:szCs w:val="24"/>
          <w:lang w:eastAsia="en-US"/>
        </w:rPr>
        <w:t>organizira i poziva Vas na</w:t>
      </w:r>
    </w:p>
    <w:p w:rsidR="007D413E" w:rsidRPr="007D413E" w:rsidRDefault="007D413E" w:rsidP="007D413E">
      <w:pPr>
        <w:pBdr>
          <w:bottom w:val="single" w:sz="8" w:space="4" w:color="4F81BD"/>
        </w:pBdr>
        <w:overflowPunct/>
        <w:autoSpaceDE/>
        <w:autoSpaceDN/>
        <w:adjustRightInd/>
        <w:spacing w:after="300" w:line="360" w:lineRule="auto"/>
        <w:contextualSpacing/>
        <w:jc w:val="center"/>
        <w:textAlignment w:val="auto"/>
        <w:rPr>
          <w:rFonts w:ascii="Cambria" w:hAnsi="Cambria"/>
          <w:color w:val="0F243E"/>
          <w:spacing w:val="5"/>
          <w:kern w:val="28"/>
          <w:sz w:val="32"/>
          <w:szCs w:val="32"/>
          <w:lang w:eastAsia="en-US"/>
        </w:rPr>
      </w:pPr>
      <w:r w:rsidRPr="007D413E">
        <w:rPr>
          <w:rFonts w:ascii="Cambria" w:hAnsi="Cambria"/>
          <w:color w:val="0F243E"/>
          <w:spacing w:val="5"/>
          <w:kern w:val="28"/>
          <w:sz w:val="32"/>
          <w:szCs w:val="32"/>
          <w:lang w:eastAsia="en-US"/>
        </w:rPr>
        <w:t>obilježavanje 10. obljetnice smrti akademika Vojmira Vinje i</w:t>
      </w:r>
    </w:p>
    <w:p w:rsidR="007D413E" w:rsidRPr="007D413E" w:rsidRDefault="007D413E" w:rsidP="007D413E">
      <w:pPr>
        <w:pBdr>
          <w:bottom w:val="single" w:sz="8" w:space="4" w:color="4F81BD"/>
        </w:pBdr>
        <w:overflowPunct/>
        <w:autoSpaceDE/>
        <w:autoSpaceDN/>
        <w:adjustRightInd/>
        <w:spacing w:after="300" w:line="360" w:lineRule="auto"/>
        <w:contextualSpacing/>
        <w:jc w:val="center"/>
        <w:textAlignment w:val="auto"/>
        <w:rPr>
          <w:rFonts w:ascii="Cambria" w:hAnsi="Cambria"/>
          <w:color w:val="0F243E"/>
          <w:spacing w:val="5"/>
          <w:kern w:val="28"/>
          <w:sz w:val="32"/>
          <w:szCs w:val="32"/>
          <w:lang w:eastAsia="en-US"/>
        </w:rPr>
      </w:pPr>
      <w:r w:rsidRPr="007D413E">
        <w:rPr>
          <w:rFonts w:ascii="Cambria" w:hAnsi="Cambria"/>
          <w:color w:val="0F243E"/>
          <w:spacing w:val="5"/>
          <w:kern w:val="28"/>
          <w:sz w:val="32"/>
          <w:szCs w:val="32"/>
          <w:lang w:eastAsia="en-US"/>
        </w:rPr>
        <w:t>predstavljanje izdanja njegova prijevoda Montaigneovih "Eseja"</w:t>
      </w:r>
    </w:p>
    <w:p w:rsidR="007D413E" w:rsidRPr="007D413E" w:rsidRDefault="007D413E" w:rsidP="007D413E">
      <w:pPr>
        <w:numPr>
          <w:ilvl w:val="1"/>
          <w:numId w:val="0"/>
        </w:numPr>
        <w:overflowPunct/>
        <w:autoSpaceDE/>
        <w:autoSpaceDN/>
        <w:adjustRightInd/>
        <w:spacing w:after="120"/>
        <w:jc w:val="center"/>
        <w:textAlignment w:val="auto"/>
        <w:rPr>
          <w:rFonts w:ascii="Cambria" w:eastAsia="Calibri" w:hAnsi="Cambria"/>
          <w:b/>
          <w:color w:val="000000"/>
          <w:spacing w:val="15"/>
          <w:szCs w:val="24"/>
          <w:lang w:eastAsia="en-US"/>
        </w:rPr>
      </w:pPr>
    </w:p>
    <w:p w:rsidR="007D413E" w:rsidRPr="007D413E" w:rsidRDefault="007D413E" w:rsidP="007D413E">
      <w:pPr>
        <w:numPr>
          <w:ilvl w:val="1"/>
          <w:numId w:val="0"/>
        </w:numPr>
        <w:overflowPunct/>
        <w:autoSpaceDE/>
        <w:autoSpaceDN/>
        <w:adjustRightInd/>
        <w:spacing w:after="120"/>
        <w:jc w:val="center"/>
        <w:textAlignment w:val="auto"/>
        <w:rPr>
          <w:rFonts w:ascii="Cambria" w:eastAsia="Calibri" w:hAnsi="Cambria"/>
          <w:b/>
          <w:color w:val="000000"/>
          <w:spacing w:val="15"/>
          <w:szCs w:val="24"/>
          <w:lang w:eastAsia="en-US"/>
        </w:rPr>
      </w:pPr>
      <w:r w:rsidRPr="007D413E">
        <w:rPr>
          <w:rFonts w:ascii="Cambria" w:eastAsia="Calibri" w:hAnsi="Cambria"/>
          <w:b/>
          <w:color w:val="000000"/>
          <w:spacing w:val="15"/>
          <w:szCs w:val="24"/>
          <w:lang w:eastAsia="en-US"/>
        </w:rPr>
        <w:t>u ponedjeljak, 12. lipnja s početkom u 12 sati</w:t>
      </w:r>
    </w:p>
    <w:p w:rsidR="007D413E" w:rsidRPr="007D413E" w:rsidRDefault="007D413E" w:rsidP="007D413E">
      <w:pPr>
        <w:numPr>
          <w:ilvl w:val="1"/>
          <w:numId w:val="0"/>
        </w:numPr>
        <w:overflowPunct/>
        <w:autoSpaceDE/>
        <w:autoSpaceDN/>
        <w:adjustRightInd/>
        <w:spacing w:after="120"/>
        <w:jc w:val="center"/>
        <w:textAlignment w:val="auto"/>
        <w:rPr>
          <w:rFonts w:ascii="Cambria" w:eastAsia="Calibri" w:hAnsi="Cambria"/>
          <w:color w:val="000000"/>
          <w:spacing w:val="15"/>
          <w:sz w:val="22"/>
          <w:szCs w:val="24"/>
          <w:lang w:eastAsia="en-US"/>
        </w:rPr>
      </w:pPr>
      <w:r w:rsidRPr="007D413E">
        <w:rPr>
          <w:rFonts w:ascii="Cambria" w:eastAsia="Calibri" w:hAnsi="Cambria"/>
          <w:color w:val="000000"/>
          <w:spacing w:val="15"/>
          <w:sz w:val="22"/>
          <w:szCs w:val="24"/>
          <w:lang w:eastAsia="en-US"/>
        </w:rPr>
        <w:t>u velikoj dvorani palače Hrvatske akademije znanosti i umjetnosti</w:t>
      </w:r>
    </w:p>
    <w:p w:rsidR="007D413E" w:rsidRPr="007D413E" w:rsidRDefault="007D413E" w:rsidP="007D413E">
      <w:pPr>
        <w:numPr>
          <w:ilvl w:val="1"/>
          <w:numId w:val="0"/>
        </w:numPr>
        <w:overflowPunct/>
        <w:autoSpaceDE/>
        <w:autoSpaceDN/>
        <w:adjustRightInd/>
        <w:spacing w:after="120"/>
        <w:jc w:val="center"/>
        <w:textAlignment w:val="auto"/>
        <w:rPr>
          <w:rFonts w:ascii="Cambria" w:eastAsia="Calibri" w:hAnsi="Cambria"/>
          <w:color w:val="000000"/>
          <w:spacing w:val="15"/>
          <w:sz w:val="22"/>
          <w:szCs w:val="24"/>
          <w:lang w:eastAsia="en-US"/>
        </w:rPr>
      </w:pPr>
      <w:r w:rsidRPr="007D413E">
        <w:rPr>
          <w:rFonts w:ascii="Cambria" w:eastAsia="Calibri" w:hAnsi="Cambria"/>
          <w:color w:val="000000"/>
          <w:spacing w:val="15"/>
          <w:sz w:val="22"/>
          <w:szCs w:val="24"/>
          <w:lang w:eastAsia="en-US"/>
        </w:rPr>
        <w:t>Trg Nikole Šubića Zrinskog 11, Zagreb</w:t>
      </w:r>
    </w:p>
    <w:p w:rsidR="007D413E" w:rsidRPr="007D413E" w:rsidRDefault="007D413E" w:rsidP="007D413E">
      <w:pPr>
        <w:overflowPunct/>
        <w:autoSpaceDE/>
        <w:autoSpaceDN/>
        <w:adjustRightInd/>
        <w:spacing w:after="120" w:line="320" w:lineRule="exact"/>
        <w:textAlignment w:val="auto"/>
        <w:rPr>
          <w:rFonts w:ascii="Verdana" w:eastAsia="Calibri" w:hAnsi="Verdana"/>
          <w:sz w:val="22"/>
          <w:szCs w:val="22"/>
          <w:lang w:eastAsia="en-US"/>
        </w:rPr>
      </w:pPr>
    </w:p>
    <w:p w:rsidR="007D413E" w:rsidRPr="007D413E" w:rsidRDefault="007D413E" w:rsidP="007D413E">
      <w:pPr>
        <w:overflowPunct/>
        <w:autoSpaceDE/>
        <w:autoSpaceDN/>
        <w:adjustRightInd/>
        <w:spacing w:after="120" w:line="320" w:lineRule="exact"/>
        <w:jc w:val="both"/>
        <w:textAlignment w:val="auto"/>
        <w:rPr>
          <w:rFonts w:ascii="Verdana" w:eastAsia="Calibri" w:hAnsi="Verdana"/>
          <w:sz w:val="22"/>
          <w:szCs w:val="22"/>
          <w:lang w:eastAsia="en-US"/>
        </w:rPr>
      </w:pPr>
      <w:r w:rsidRPr="007D413E">
        <w:rPr>
          <w:rFonts w:ascii="Verdana" w:eastAsia="Calibri" w:hAnsi="Verdana"/>
          <w:sz w:val="22"/>
          <w:szCs w:val="22"/>
          <w:lang w:eastAsia="en-US"/>
        </w:rPr>
        <w:t>Hrvatska akademija znanosti i umjetnosti će u ponedjeljak, 12. lipnja s početkom u 12 sati u velikoj dvorani palače na Trgu Nikole Šubića Zrinskog 11 u Zagreb obilježiti 10. obljetnicu smrti akademika Vojmira Vinje, prilikom čega će biti predstavljeno drugo izdanja njegova prijevoda Montaigneovih "Eseja".</w:t>
      </w:r>
    </w:p>
    <w:p w:rsidR="007D413E" w:rsidRPr="007D413E" w:rsidRDefault="007D413E" w:rsidP="007D413E">
      <w:pPr>
        <w:overflowPunct/>
        <w:autoSpaceDE/>
        <w:autoSpaceDN/>
        <w:adjustRightInd/>
        <w:spacing w:after="120" w:line="320" w:lineRule="exact"/>
        <w:jc w:val="both"/>
        <w:textAlignment w:val="auto"/>
        <w:rPr>
          <w:rFonts w:ascii="Verdana" w:eastAsia="Calibri" w:hAnsi="Verdana"/>
          <w:iCs/>
          <w:sz w:val="22"/>
          <w:szCs w:val="22"/>
          <w:lang w:eastAsia="en-US"/>
        </w:rPr>
      </w:pPr>
      <w:r w:rsidRPr="007D413E">
        <w:rPr>
          <w:rFonts w:ascii="Verdana" w:eastAsia="Calibri" w:hAnsi="Verdana"/>
          <w:iCs/>
          <w:sz w:val="22"/>
          <w:szCs w:val="22"/>
          <w:lang w:eastAsia="en-US"/>
        </w:rPr>
        <w:t xml:space="preserve">Na svečanosti će govoriti </w:t>
      </w:r>
      <w:r w:rsidRPr="007D413E">
        <w:rPr>
          <w:rFonts w:ascii="Verdana" w:eastAsia="Calibri" w:hAnsi="Verdana"/>
          <w:bCs/>
          <w:sz w:val="22"/>
          <w:szCs w:val="22"/>
          <w:lang w:eastAsia="en-US"/>
        </w:rPr>
        <w:t xml:space="preserve">akademik </w:t>
      </w:r>
      <w:r w:rsidRPr="007D413E">
        <w:rPr>
          <w:rFonts w:ascii="Verdana" w:eastAsia="Calibri" w:hAnsi="Verdana"/>
          <w:b/>
          <w:bCs/>
          <w:sz w:val="22"/>
          <w:szCs w:val="22"/>
          <w:lang w:eastAsia="en-US"/>
        </w:rPr>
        <w:t>August Kovačec</w:t>
      </w:r>
      <w:r w:rsidRPr="007D413E">
        <w:rPr>
          <w:rFonts w:ascii="Verdana" w:eastAsia="Calibri" w:hAnsi="Verdana"/>
          <w:bCs/>
          <w:sz w:val="22"/>
          <w:szCs w:val="22"/>
          <w:lang w:eastAsia="en-US"/>
        </w:rPr>
        <w:t xml:space="preserve"> o </w:t>
      </w:r>
      <w:r w:rsidRPr="007D413E">
        <w:rPr>
          <w:rFonts w:ascii="Verdana" w:eastAsia="Calibri" w:hAnsi="Verdana"/>
          <w:iCs/>
          <w:sz w:val="22"/>
          <w:szCs w:val="22"/>
          <w:lang w:eastAsia="en-US"/>
        </w:rPr>
        <w:t xml:space="preserve">Vojmiru Vinji kao romanistu, </w:t>
      </w:r>
      <w:r w:rsidRPr="007D413E">
        <w:rPr>
          <w:rFonts w:ascii="Verdana" w:eastAsia="Calibri" w:hAnsi="Verdana"/>
          <w:bCs/>
          <w:sz w:val="22"/>
          <w:szCs w:val="22"/>
          <w:lang w:eastAsia="en-US"/>
        </w:rPr>
        <w:t xml:space="preserve">prof. dr. </w:t>
      </w:r>
      <w:r w:rsidRPr="007D413E">
        <w:rPr>
          <w:rFonts w:ascii="Verdana" w:eastAsia="Calibri" w:hAnsi="Verdana"/>
          <w:b/>
          <w:bCs/>
          <w:sz w:val="22"/>
          <w:szCs w:val="22"/>
          <w:lang w:eastAsia="en-US"/>
        </w:rPr>
        <w:t>Nikola Vuletić</w:t>
      </w:r>
      <w:r w:rsidRPr="007D413E">
        <w:rPr>
          <w:rFonts w:ascii="Verdana" w:eastAsia="Calibri" w:hAnsi="Verdana"/>
          <w:bCs/>
          <w:sz w:val="22"/>
          <w:szCs w:val="22"/>
          <w:lang w:eastAsia="en-US"/>
        </w:rPr>
        <w:t xml:space="preserve"> </w:t>
      </w:r>
      <w:r w:rsidRPr="007D413E">
        <w:rPr>
          <w:rFonts w:ascii="Verdana" w:eastAsia="Calibri" w:hAnsi="Verdana"/>
          <w:sz w:val="22"/>
          <w:szCs w:val="22"/>
          <w:lang w:eastAsia="en-US"/>
        </w:rPr>
        <w:t xml:space="preserve">(Centar za jadranska onomastička istraživanja Sveučilišta u Zadru) o </w:t>
      </w:r>
      <w:r w:rsidRPr="007D413E">
        <w:rPr>
          <w:rFonts w:ascii="Verdana" w:eastAsia="Calibri" w:hAnsi="Verdana"/>
          <w:iCs/>
          <w:sz w:val="22"/>
          <w:szCs w:val="22"/>
          <w:lang w:eastAsia="en-US"/>
        </w:rPr>
        <w:t xml:space="preserve">Vinjinim jadranskim etimologijama i morskom jezičnom znaku, </w:t>
      </w:r>
      <w:r w:rsidRPr="007D413E">
        <w:rPr>
          <w:rFonts w:ascii="Verdana" w:eastAsia="Calibri" w:hAnsi="Verdana"/>
          <w:bCs/>
          <w:sz w:val="22"/>
          <w:szCs w:val="22"/>
          <w:lang w:eastAsia="en-US"/>
        </w:rPr>
        <w:t xml:space="preserve">akademik </w:t>
      </w:r>
      <w:r w:rsidRPr="007D413E">
        <w:rPr>
          <w:rFonts w:ascii="Verdana" w:eastAsia="Calibri" w:hAnsi="Verdana"/>
          <w:b/>
          <w:bCs/>
          <w:sz w:val="22"/>
          <w:szCs w:val="22"/>
          <w:lang w:eastAsia="en-US"/>
        </w:rPr>
        <w:t>Darko Novakovi</w:t>
      </w:r>
      <w:r w:rsidRPr="007D413E">
        <w:rPr>
          <w:rFonts w:ascii="Verdana" w:eastAsia="Calibri" w:hAnsi="Verdana"/>
          <w:bCs/>
          <w:sz w:val="22"/>
          <w:szCs w:val="22"/>
          <w:lang w:eastAsia="en-US"/>
        </w:rPr>
        <w:t xml:space="preserve">ć o </w:t>
      </w:r>
      <w:r w:rsidRPr="007D413E">
        <w:rPr>
          <w:rFonts w:ascii="Verdana" w:eastAsia="Calibri" w:hAnsi="Verdana"/>
          <w:iCs/>
          <w:sz w:val="22"/>
          <w:szCs w:val="22"/>
          <w:lang w:eastAsia="en-US"/>
        </w:rPr>
        <w:t xml:space="preserve">Montaigneu i renesansi te </w:t>
      </w:r>
      <w:r w:rsidRPr="007D413E">
        <w:rPr>
          <w:rFonts w:ascii="Verdana" w:eastAsia="Calibri" w:hAnsi="Verdana"/>
          <w:bCs/>
          <w:sz w:val="22"/>
          <w:szCs w:val="22"/>
          <w:lang w:eastAsia="en-US"/>
        </w:rPr>
        <w:t xml:space="preserve">urednik </w:t>
      </w:r>
      <w:r w:rsidRPr="007D413E">
        <w:rPr>
          <w:rFonts w:ascii="Verdana" w:eastAsia="Calibri" w:hAnsi="Verdana"/>
          <w:b/>
          <w:bCs/>
          <w:sz w:val="22"/>
          <w:szCs w:val="22"/>
          <w:lang w:eastAsia="en-US"/>
        </w:rPr>
        <w:t>Josip Pandurić</w:t>
      </w:r>
      <w:r w:rsidRPr="007D413E">
        <w:rPr>
          <w:rFonts w:ascii="Verdana" w:eastAsia="Calibri" w:hAnsi="Verdana"/>
          <w:bCs/>
          <w:sz w:val="22"/>
          <w:szCs w:val="22"/>
          <w:lang w:eastAsia="en-US"/>
        </w:rPr>
        <w:t xml:space="preserve"> o d</w:t>
      </w:r>
      <w:r w:rsidRPr="007D413E">
        <w:rPr>
          <w:rFonts w:ascii="Verdana" w:eastAsia="Calibri" w:hAnsi="Verdana"/>
          <w:iCs/>
          <w:sz w:val="22"/>
          <w:szCs w:val="22"/>
          <w:lang w:eastAsia="en-US"/>
        </w:rPr>
        <w:t>rugom izdanje Montaigneovih "Eseja".</w:t>
      </w:r>
    </w:p>
    <w:p w:rsidR="007D413E" w:rsidRPr="007D413E" w:rsidRDefault="007D413E" w:rsidP="007D413E">
      <w:pPr>
        <w:overflowPunct/>
        <w:autoSpaceDE/>
        <w:autoSpaceDN/>
        <w:adjustRightInd/>
        <w:spacing w:after="120" w:line="320" w:lineRule="exact"/>
        <w:jc w:val="both"/>
        <w:textAlignment w:val="auto"/>
        <w:rPr>
          <w:rFonts w:ascii="Verdana" w:eastAsia="Calibri" w:hAnsi="Verdana"/>
          <w:sz w:val="22"/>
          <w:szCs w:val="22"/>
          <w:lang w:eastAsia="en-US"/>
        </w:rPr>
      </w:pPr>
      <w:r w:rsidRPr="007D413E">
        <w:rPr>
          <w:rFonts w:ascii="Verdana" w:eastAsia="Calibri" w:hAnsi="Verdana"/>
          <w:sz w:val="22"/>
          <w:szCs w:val="22"/>
          <w:lang w:eastAsia="en-US"/>
        </w:rPr>
        <w:t xml:space="preserve">Izdavačka kuća Disput upravo je objavila drugo izdanje </w:t>
      </w:r>
      <w:r w:rsidRPr="007D413E">
        <w:rPr>
          <w:rFonts w:ascii="Verdana" w:eastAsia="Calibri" w:hAnsi="Verdana"/>
          <w:iCs/>
          <w:sz w:val="22"/>
          <w:szCs w:val="22"/>
          <w:lang w:eastAsia="en-US"/>
        </w:rPr>
        <w:t>"Eseja"</w:t>
      </w:r>
      <w:r w:rsidRPr="007D413E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Pr="007D413E">
        <w:rPr>
          <w:rFonts w:ascii="Verdana" w:eastAsia="Calibri" w:hAnsi="Verdana"/>
          <w:iCs/>
          <w:sz w:val="22"/>
          <w:szCs w:val="22"/>
          <w:lang w:eastAsia="en-US"/>
        </w:rPr>
        <w:t>Michela de Montaignea</w:t>
      </w:r>
      <w:r w:rsidRPr="007D413E">
        <w:rPr>
          <w:rFonts w:ascii="Verdana" w:eastAsia="Calibri" w:hAnsi="Verdana"/>
          <w:sz w:val="22"/>
          <w:szCs w:val="22"/>
          <w:lang w:eastAsia="en-US"/>
        </w:rPr>
        <w:t xml:space="preserve"> u prijevodu pok. akademika Vojmira Vinje. To troknjižje objavljuje se deset godina nakon njegova prvotnog hrvatskog izdanja u sklopu "</w:t>
      </w:r>
      <w:r w:rsidRPr="007D413E">
        <w:rPr>
          <w:rFonts w:ascii="Verdana" w:eastAsia="Calibri" w:hAnsi="Verdana"/>
          <w:iCs/>
          <w:sz w:val="22"/>
          <w:szCs w:val="22"/>
          <w:lang w:eastAsia="en-US"/>
        </w:rPr>
        <w:t>Sabranih djela Michela de Montaignea"</w:t>
      </w:r>
      <w:r w:rsidRPr="007D413E">
        <w:rPr>
          <w:rFonts w:ascii="Verdana" w:eastAsia="Calibri" w:hAnsi="Verdana"/>
          <w:sz w:val="22"/>
          <w:szCs w:val="22"/>
          <w:lang w:eastAsia="en-US"/>
        </w:rPr>
        <w:t xml:space="preserve"> (Disput, 2007) i deset godina od smrti prevoditelja Vojmira Vinje (Dubrovnik, 12. studenoga 1921. – Zagreb, 15. lipnja 2007), istaknutoga hrvatskog lingvista, romanista i prevoditelja. Izdavač je za to izdanje dobio "Nagradu Josip Juraj Strossmayer" za najuspješniji izdavački pothvat 2007. godine s područja humanističkih znanosti.</w:t>
      </w:r>
    </w:p>
    <w:p w:rsidR="007D413E" w:rsidRDefault="007D413E" w:rsidP="007D413E">
      <w:pPr>
        <w:overflowPunct/>
        <w:autoSpaceDE/>
        <w:autoSpaceDN/>
        <w:adjustRightInd/>
        <w:spacing w:after="120" w:line="320" w:lineRule="exact"/>
        <w:jc w:val="both"/>
        <w:textAlignment w:val="auto"/>
        <w:rPr>
          <w:rFonts w:ascii="Verdana" w:eastAsia="Calibri" w:hAnsi="Verdana"/>
          <w:sz w:val="22"/>
          <w:szCs w:val="22"/>
          <w:lang w:eastAsia="en-US"/>
        </w:rPr>
        <w:sectPr w:rsidR="007D413E" w:rsidSect="007D413E">
          <w:headerReference w:type="default" r:id="rId7"/>
          <w:footerReference w:type="default" r:id="rId8"/>
          <w:pgSz w:w="11906" w:h="16838" w:code="9"/>
          <w:pgMar w:top="1417" w:right="1417" w:bottom="1417" w:left="1417" w:header="567" w:footer="397" w:gutter="0"/>
          <w:cols w:space="708"/>
          <w:docGrid w:linePitch="326"/>
        </w:sectPr>
      </w:pPr>
      <w:r w:rsidRPr="007D413E">
        <w:rPr>
          <w:rFonts w:ascii="Verdana" w:eastAsia="Calibri" w:hAnsi="Verdana"/>
          <w:sz w:val="22"/>
          <w:szCs w:val="22"/>
          <w:lang w:eastAsia="en-US"/>
        </w:rPr>
        <w:t xml:space="preserve">U riznici svjetske književnosti, posebice u graničnom području koje ona dijeli s tradicijom filozofskog mišljenja, djelo Michela de Montaignea (1533-1592) zauzima prijelomno i stoga nezaobilazno mjesto. Svojim </w:t>
      </w:r>
      <w:r w:rsidRPr="007D413E">
        <w:rPr>
          <w:rFonts w:ascii="Verdana" w:eastAsia="Calibri" w:hAnsi="Verdana"/>
          <w:i/>
          <w:sz w:val="22"/>
          <w:szCs w:val="22"/>
          <w:lang w:eastAsia="en-US"/>
        </w:rPr>
        <w:t>Esejima</w:t>
      </w:r>
      <w:r w:rsidRPr="007D413E">
        <w:rPr>
          <w:rFonts w:ascii="Verdana" w:eastAsia="Calibri" w:hAnsi="Verdana"/>
          <w:sz w:val="22"/>
          <w:szCs w:val="22"/>
          <w:lang w:eastAsia="en-US"/>
        </w:rPr>
        <w:t xml:space="preserve"> (prvo izdanje: Bordeaux 1580), koje je kasnija kritička recepcija atribuirala djelom epohe, Montaigne je utemeljio odnosno kanonizirao novi književni oblik: po naslovu njegovih lucidnih razmatranja kasnije je nazvan cijeli jedan književni žanr. Svojim načinom pisanja</w:t>
      </w:r>
    </w:p>
    <w:p w:rsidR="007D413E" w:rsidRPr="007D413E" w:rsidRDefault="007D413E" w:rsidP="007D413E">
      <w:pPr>
        <w:overflowPunct/>
        <w:autoSpaceDE/>
        <w:autoSpaceDN/>
        <w:adjustRightInd/>
        <w:spacing w:after="120" w:line="320" w:lineRule="exact"/>
        <w:jc w:val="both"/>
        <w:textAlignment w:val="auto"/>
        <w:rPr>
          <w:rFonts w:ascii="Verdana" w:eastAsia="Calibri" w:hAnsi="Verdana"/>
          <w:sz w:val="22"/>
          <w:szCs w:val="22"/>
          <w:lang w:eastAsia="en-US"/>
        </w:rPr>
      </w:pPr>
      <w:r w:rsidRPr="007D413E">
        <w:rPr>
          <w:rFonts w:ascii="Verdana" w:eastAsia="Calibri" w:hAnsi="Verdana"/>
          <w:sz w:val="22"/>
          <w:szCs w:val="22"/>
          <w:lang w:eastAsia="en-US"/>
        </w:rPr>
        <w:lastRenderedPageBreak/>
        <w:t xml:space="preserve"> Montaigne se svrstava među ključne pionire epohalnog zaokreta u zapadnoj kulturi, koji je donio nov način promišljanja subjektivnoga, i koji se danas općenito smatra jednom od najvažnijih značajki moderne što je nicala u renesansi. Danas ga analitičari stavljaju uz bok W. Shakespeareu i N. Machiavelliju, u red velikana renesanse koji su izvršili najznačajniji utjecaj na razvoj modernog mišljenja. </w:t>
      </w:r>
    </w:p>
    <w:p w:rsidR="007D413E" w:rsidRPr="007D413E" w:rsidRDefault="007D413E" w:rsidP="007D413E">
      <w:pPr>
        <w:overflowPunct/>
        <w:autoSpaceDE/>
        <w:autoSpaceDN/>
        <w:adjustRightInd/>
        <w:spacing w:after="120" w:line="320" w:lineRule="exact"/>
        <w:textAlignment w:val="auto"/>
        <w:rPr>
          <w:rFonts w:ascii="Verdana" w:eastAsia="Calibri" w:hAnsi="Verdana"/>
          <w:sz w:val="22"/>
          <w:szCs w:val="22"/>
          <w:lang w:eastAsia="en-US"/>
        </w:rPr>
      </w:pPr>
    </w:p>
    <w:p w:rsidR="007D413E" w:rsidRPr="007D413E" w:rsidRDefault="007D413E" w:rsidP="007D413E">
      <w:pPr>
        <w:overflowPunct/>
        <w:autoSpaceDE/>
        <w:autoSpaceDN/>
        <w:adjustRightInd/>
        <w:spacing w:after="120" w:line="320" w:lineRule="exact"/>
        <w:jc w:val="both"/>
        <w:textAlignment w:val="auto"/>
        <w:rPr>
          <w:rFonts w:ascii="Verdana" w:eastAsia="Calibri" w:hAnsi="Verdana"/>
          <w:sz w:val="22"/>
          <w:szCs w:val="22"/>
          <w:lang w:eastAsia="en-US"/>
        </w:rPr>
      </w:pPr>
      <w:r w:rsidRPr="007D413E">
        <w:rPr>
          <w:rFonts w:ascii="Verdana" w:eastAsia="Calibri" w:hAnsi="Verdana"/>
          <w:b/>
          <w:sz w:val="22"/>
          <w:szCs w:val="22"/>
          <w:lang w:eastAsia="en-US"/>
        </w:rPr>
        <w:t>Akad. Vojmir VINJA (Dubrovnik, 12.XI.1921.-Zagreb, 15.VI.2007.).</w:t>
      </w:r>
      <w:r w:rsidRPr="007D413E">
        <w:rPr>
          <w:rFonts w:ascii="Verdana" w:eastAsia="Calibri" w:hAnsi="Verdana"/>
          <w:sz w:val="22"/>
          <w:szCs w:val="22"/>
          <w:lang w:eastAsia="en-US"/>
        </w:rPr>
        <w:t xml:space="preserve"> Od 1947., nakon diplome, pa do umirovljenja 1989. predavao je na Filozofskom fakultetu na Katedri za francuski jezik i na Katedri za romansku lingvistiku. Nakon umirovljenja svojega učitelja Petra Skoka (g. 1951.), osim pomnog i dugoročno planiranoga predavanja lingvističkih kolegija (prvenstveno iz romanske lingvistike i iz povijesti francuskoga jezika), posebno se posvetio proučavanju romansko-slavenskih (ponajprije romansko-hrvatskih) jezičnih dodira. No za razliku od svojega učitelja koji je romansko-slavenske jezične kontakte proučavao na području cijele jugoistočne Europe i Balkanskoga poluotoka, akad. Vinja usredotočio se na proučavanje romanizama na Jadranskoj obali i otocima, ali s ciljem da ta proučavanja produbi i metodološki obnovi. Akad. Vinja jedan je od prvih naših lingvista koji je uočio važnost pouzdane teoretske podloge i metodologije u lingvističkom proučavanju pa je za studente romanistike već početkom 1950-ih godina uveo u nastavu teme iz opće lingvistike, lingvističke geografije, semantike, posebice Saussureove jezične teorija i strukturalizma. Kolegije iz opće lingvistike predavao je i na poslijediplomskim studijima lingvistike u Zagrebu (bio je i jedan od njihovih osnivača) i u Dubrovniku. U prikupljanju i tumačenju jezične građe s obala Jadrana služio se metodologijom lingvističke geografije, a u tumačenju razvitka riječi posebno vodio brigu o pomnoj i sustavnoj njihovoj semantičkoj analizi (usp. npr. </w:t>
      </w:r>
      <w:r w:rsidRPr="007D413E">
        <w:rPr>
          <w:rFonts w:ascii="Verdana" w:eastAsia="Calibri" w:hAnsi="Verdana"/>
          <w:i/>
          <w:sz w:val="22"/>
          <w:szCs w:val="22"/>
          <w:lang w:eastAsia="en-US"/>
        </w:rPr>
        <w:t>Jadranska faune. Etimologija i struktura naziva,</w:t>
      </w:r>
      <w:r w:rsidRPr="007D413E">
        <w:rPr>
          <w:rFonts w:ascii="Verdana" w:eastAsia="Calibri" w:hAnsi="Verdana"/>
          <w:sz w:val="22"/>
          <w:szCs w:val="22"/>
          <w:lang w:eastAsia="en-US"/>
        </w:rPr>
        <w:t xml:space="preserve"> I-II, Zagreb-Split, 1986; </w:t>
      </w:r>
      <w:r w:rsidRPr="007D413E">
        <w:rPr>
          <w:rFonts w:ascii="Verdana" w:eastAsia="Calibri" w:hAnsi="Verdana"/>
          <w:i/>
          <w:sz w:val="22"/>
          <w:szCs w:val="22"/>
          <w:lang w:eastAsia="en-US"/>
        </w:rPr>
        <w:t>Jadranske etimologije,</w:t>
      </w:r>
      <w:r w:rsidRPr="007D413E">
        <w:rPr>
          <w:rFonts w:ascii="Verdana" w:eastAsia="Calibri" w:hAnsi="Verdana"/>
          <w:sz w:val="22"/>
          <w:szCs w:val="22"/>
          <w:lang w:eastAsia="en-US"/>
        </w:rPr>
        <w:t xml:space="preserve"> I-IV, Zagreb, 1998.-2016.). Uz studij francuskoga i talijanskoga jezika i književnosti, utemeljio je i organizirao studij španjolskoga jezika i književnosti (te za nj pripremio i objavio temeljne priručnike), a poticao je i osnutak punog studija rumunjskoga i portugalskoga. Odgojio je niz naraštaja romanista i lingvista koji djeluju ponajprije na sveučilištima u Zagrebu, u Zadru i u Puli nastavljajući njegova istraživanja. Osim prijevoda kapitalnih djela iz opće lingvistike (F. De Saussure, E. Benveniste), ostvario je i nekoliko prvorazrednih prijevoda književnih djela s romanskih jezika i s latinskoga.</w:t>
      </w:r>
    </w:p>
    <w:p w:rsidR="007D413E" w:rsidRPr="007D413E" w:rsidRDefault="007D413E" w:rsidP="007D413E">
      <w:pPr>
        <w:overflowPunct/>
        <w:autoSpaceDE/>
        <w:autoSpaceDN/>
        <w:adjustRightInd/>
        <w:spacing w:after="120" w:line="320" w:lineRule="exact"/>
        <w:jc w:val="both"/>
        <w:textAlignment w:val="auto"/>
        <w:rPr>
          <w:rFonts w:ascii="Verdana" w:eastAsia="Calibri" w:hAnsi="Verdana"/>
          <w:sz w:val="22"/>
          <w:szCs w:val="22"/>
          <w:lang w:eastAsia="en-US"/>
        </w:rPr>
      </w:pPr>
      <w:r w:rsidRPr="007D413E">
        <w:rPr>
          <w:rFonts w:ascii="Verdana" w:eastAsia="Calibri" w:hAnsi="Verdana"/>
          <w:sz w:val="22"/>
          <w:szCs w:val="22"/>
          <w:lang w:eastAsia="en-US"/>
        </w:rPr>
        <w:t xml:space="preserve">Među kapitalne prinose akad. V. Vinje spada i njegov </w:t>
      </w:r>
      <w:r w:rsidRPr="007D413E">
        <w:rPr>
          <w:rFonts w:ascii="Verdana" w:eastAsia="Calibri" w:hAnsi="Verdana"/>
          <w:b/>
          <w:sz w:val="22"/>
          <w:szCs w:val="22"/>
          <w:lang w:eastAsia="en-US"/>
        </w:rPr>
        <w:t>majstorski prijevod sabranih Montaigneovih djela</w:t>
      </w:r>
      <w:r w:rsidRPr="007D413E">
        <w:rPr>
          <w:rFonts w:ascii="Verdana" w:eastAsia="Calibri" w:hAnsi="Verdana"/>
          <w:sz w:val="22"/>
          <w:szCs w:val="22"/>
          <w:lang w:eastAsia="en-US"/>
        </w:rPr>
        <w:t xml:space="preserve"> (objavljeno 2007.), od kojih se upravo ovih dana objavljuje i drugo izdanje Montaigneovih „Ogleda/Eseja“ u tri knjige. Montaigneovi „Eseji“ obuhvaćaju 107 poglavlja, razdjela, tj. ogleda, koje je on pisao iz dana u dan (stalno ih dopunjujući, ali ne i ispravljajući) raščlanjujući pojavnosti na koje je nailazio u svakodnevnom životu i u lektirama, nastojeći ih rasvijetliti iz različitih stajališta. Njegovi ogledi prepuni su reminiscencija i citata iz klasičnih književnosti </w:t>
      </w:r>
      <w:r w:rsidRPr="007D413E">
        <w:rPr>
          <w:rFonts w:ascii="Verdana" w:eastAsia="Calibri" w:hAnsi="Verdana"/>
          <w:sz w:val="22"/>
          <w:szCs w:val="22"/>
          <w:lang w:eastAsia="en-US"/>
        </w:rPr>
        <w:lastRenderedPageBreak/>
        <w:t>(klasičnu grčku i rimsku književnost, povijest i filozofiju izvrsno je poznavao i stalno čitao djela iz tih razdoblja, osobito djela pjesnika, povjesničara i moralista). Iz djela klasičnih književnosti uzima mnogobrojne primjere kako bi mogao usporediti svoje iskustvo i potkrijepiti svoje misli. To je djelo koje se po svojoj strukturi opire analizi i sažimanju, koje oslikava njegova razmišljanja o raznorodnim pojavama iz dana u dan, koje nije pisano ni prema kakvu unaprijed zadanom ili stvorenom planu, u kojem naslovi razdjela nerijetko samo hirovito navješćuju sadržaj (jer, prema Montaigneu, ljudska misao jedva može okrznuti sadržaj, a istina je neuhvatljiva) postalo je vrhunski prauzorak za jednu književnu vrstu –</w:t>
      </w:r>
      <w:r w:rsidRPr="007D413E">
        <w:rPr>
          <w:rFonts w:ascii="Verdana" w:eastAsia="Calibri" w:hAnsi="Verdana"/>
          <w:b/>
          <w:sz w:val="22"/>
          <w:szCs w:val="22"/>
          <w:lang w:eastAsia="en-US"/>
        </w:rPr>
        <w:t>esej/ogled</w:t>
      </w:r>
      <w:r w:rsidRPr="007D413E">
        <w:rPr>
          <w:rFonts w:ascii="Verdana" w:eastAsia="Calibri" w:hAnsi="Verdana"/>
          <w:sz w:val="22"/>
          <w:szCs w:val="22"/>
          <w:lang w:eastAsia="en-US"/>
        </w:rPr>
        <w:t xml:space="preserve"> – do danas. U svojim „Esejima/Ogledima“ Montaigne ne želi dijeliti lekcije čitatelju, nego ga poziva da s njim proživi zapažanja, pokušaje i razmišljanja. Oni su njegov unutarnji dnevnik i psihološke uspomene u traženju mudrosti i istine.</w:t>
      </w:r>
    </w:p>
    <w:p w:rsidR="007D413E" w:rsidRPr="007D413E" w:rsidRDefault="007D413E" w:rsidP="007D413E">
      <w:pPr>
        <w:overflowPunct/>
        <w:autoSpaceDE/>
        <w:autoSpaceDN/>
        <w:adjustRightInd/>
        <w:spacing w:after="120" w:line="320" w:lineRule="exact"/>
        <w:jc w:val="both"/>
        <w:textAlignment w:val="auto"/>
        <w:rPr>
          <w:rFonts w:ascii="Verdana" w:eastAsia="Calibri" w:hAnsi="Verdana"/>
          <w:sz w:val="22"/>
          <w:szCs w:val="22"/>
          <w:lang w:eastAsia="en-US"/>
        </w:rPr>
      </w:pPr>
      <w:r w:rsidRPr="007D413E">
        <w:rPr>
          <w:rFonts w:ascii="Verdana" w:eastAsia="Calibri" w:hAnsi="Verdana"/>
          <w:sz w:val="22"/>
          <w:szCs w:val="22"/>
          <w:lang w:eastAsia="en-US"/>
        </w:rPr>
        <w:t>Srdačno Vas pozdravljamo, zahvaljujemo na suradnji i očekujemo Vaš dolazak.</w:t>
      </w:r>
    </w:p>
    <w:p w:rsidR="007D413E" w:rsidRPr="007D413E" w:rsidRDefault="007D413E" w:rsidP="007D413E">
      <w:pPr>
        <w:overflowPunct/>
        <w:autoSpaceDE/>
        <w:autoSpaceDN/>
        <w:adjustRightInd/>
        <w:spacing w:line="320" w:lineRule="exact"/>
        <w:jc w:val="right"/>
        <w:textAlignment w:val="auto"/>
        <w:rPr>
          <w:rFonts w:ascii="Verdana" w:eastAsia="Calibri" w:hAnsi="Verdana"/>
          <w:sz w:val="22"/>
          <w:szCs w:val="22"/>
          <w:lang w:eastAsia="en-US"/>
        </w:rPr>
      </w:pPr>
      <w:r w:rsidRPr="007D413E">
        <w:rPr>
          <w:rFonts w:ascii="Verdana" w:eastAsia="Calibri" w:hAnsi="Verdana"/>
          <w:sz w:val="22"/>
          <w:szCs w:val="22"/>
          <w:lang w:eastAsia="en-US"/>
        </w:rPr>
        <w:t>Ured za odnose s javnošću i medije HAZU</w:t>
      </w:r>
    </w:p>
    <w:p w:rsidR="007D413E" w:rsidRPr="007D413E" w:rsidRDefault="007D413E" w:rsidP="007D413E">
      <w:pPr>
        <w:overflowPunct/>
        <w:autoSpaceDE/>
        <w:autoSpaceDN/>
        <w:adjustRightInd/>
        <w:spacing w:after="120" w:line="320" w:lineRule="exact"/>
        <w:jc w:val="right"/>
        <w:textAlignment w:val="auto"/>
        <w:rPr>
          <w:rFonts w:ascii="Verdana" w:eastAsia="Calibri" w:hAnsi="Verdana"/>
          <w:sz w:val="22"/>
          <w:szCs w:val="22"/>
          <w:lang w:eastAsia="en-US"/>
        </w:rPr>
      </w:pPr>
      <w:r w:rsidRPr="007D413E">
        <w:rPr>
          <w:rFonts w:ascii="Verdana" w:eastAsia="Calibri" w:hAnsi="Verdana"/>
          <w:sz w:val="22"/>
          <w:szCs w:val="22"/>
          <w:lang w:eastAsia="en-US"/>
        </w:rPr>
        <w:t>Gordana Poletto Ružić</w:t>
      </w:r>
    </w:p>
    <w:p w:rsidR="007D413E" w:rsidRPr="007D413E" w:rsidRDefault="007D413E" w:rsidP="007D413E">
      <w:pPr>
        <w:spacing w:after="120"/>
        <w:rPr>
          <w:rFonts w:ascii="Century Gothic" w:hAnsi="Century Gothic"/>
          <w:bCs/>
          <w:color w:val="404040"/>
          <w:spacing w:val="15"/>
          <w:szCs w:val="24"/>
        </w:rPr>
      </w:pPr>
    </w:p>
    <w:p w:rsidR="007D413E" w:rsidRPr="007D413E" w:rsidRDefault="007D413E" w:rsidP="007D413E">
      <w:pPr>
        <w:spacing w:after="80"/>
      </w:pPr>
    </w:p>
    <w:p w:rsidR="007D413E" w:rsidRPr="007D413E" w:rsidRDefault="007D413E" w:rsidP="007D413E">
      <w:pPr>
        <w:numPr>
          <w:ilvl w:val="1"/>
          <w:numId w:val="0"/>
        </w:numPr>
        <w:spacing w:after="120"/>
        <w:rPr>
          <w:rFonts w:ascii="Century Gothic" w:hAnsi="Century Gothic"/>
          <w:color w:val="5A5A5A"/>
          <w:spacing w:val="15"/>
          <w:sz w:val="22"/>
          <w:szCs w:val="22"/>
        </w:rPr>
      </w:pPr>
    </w:p>
    <w:p w:rsidR="00A3753F" w:rsidRDefault="00A3753F" w:rsidP="007D413E">
      <w:pPr>
        <w:keepNext/>
        <w:keepLines/>
        <w:overflowPunct/>
        <w:autoSpaceDE/>
        <w:autoSpaceDN/>
        <w:adjustRightInd/>
        <w:spacing w:after="120" w:line="276" w:lineRule="auto"/>
        <w:textAlignment w:val="auto"/>
        <w:outlineLvl w:val="0"/>
        <w:rPr>
          <w:rFonts w:ascii="Cambria" w:hAnsi="Cambria"/>
          <w:b/>
          <w:bCs/>
          <w:color w:val="365F91"/>
          <w:sz w:val="28"/>
          <w:szCs w:val="28"/>
          <w:lang w:eastAsia="en-US"/>
        </w:rPr>
      </w:pPr>
    </w:p>
    <w:p w:rsidR="007D413E" w:rsidRPr="00A3753F" w:rsidRDefault="007D413E" w:rsidP="007D413E">
      <w:pPr>
        <w:keepNext/>
        <w:keepLines/>
        <w:overflowPunct/>
        <w:autoSpaceDE/>
        <w:autoSpaceDN/>
        <w:adjustRightInd/>
        <w:spacing w:after="120" w:line="276" w:lineRule="auto"/>
        <w:textAlignment w:val="auto"/>
        <w:outlineLvl w:val="0"/>
        <w:rPr>
          <w:rFonts w:ascii="Cambria" w:hAnsi="Cambria"/>
          <w:b/>
          <w:bCs/>
          <w:color w:val="365F91"/>
          <w:sz w:val="28"/>
          <w:szCs w:val="28"/>
          <w:lang w:eastAsia="en-US"/>
        </w:rPr>
      </w:pPr>
      <w:bookmarkStart w:id="0" w:name="_GoBack"/>
      <w:bookmarkEnd w:id="0"/>
    </w:p>
    <w:sectPr w:rsidR="007D413E" w:rsidRPr="00A3753F" w:rsidSect="007D413E">
      <w:headerReference w:type="default" r:id="rId9"/>
      <w:footerReference w:type="default" r:id="rId10"/>
      <w:type w:val="continuous"/>
      <w:pgSz w:w="11906" w:h="16838" w:code="9"/>
      <w:pgMar w:top="1417" w:right="1417" w:bottom="1417" w:left="1417" w:header="56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7D0" w:rsidRDefault="002217D0">
      <w:r>
        <w:separator/>
      </w:r>
    </w:p>
  </w:endnote>
  <w:endnote w:type="continuationSeparator" w:id="0">
    <w:p w:rsidR="002217D0" w:rsidRDefault="0022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F01" w:rsidRDefault="00E94F01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>
      <w:rPr>
        <w:rFonts w:ascii="Calisto MT" w:hAnsi="Calisto MT" w:cs="Tahoma"/>
        <w:color w:val="323232"/>
        <w:spacing w:val="10"/>
        <w:sz w:val="18"/>
        <w:szCs w:val="18"/>
      </w:rPr>
      <w:t>Trg Nikole Šubi</w:t>
    </w:r>
    <w:r>
      <w:rPr>
        <w:rFonts w:ascii="Cambria" w:hAnsi="Cambria" w:cs="Tahoma"/>
        <w:color w:val="323232"/>
        <w:spacing w:val="10"/>
        <w:sz w:val="18"/>
        <w:szCs w:val="18"/>
      </w:rPr>
      <w:t>ć</w:t>
    </w:r>
    <w:r>
      <w:rPr>
        <w:rFonts w:ascii="Calisto MT" w:hAnsi="Calisto MT" w:cs="Tahoma"/>
        <w:color w:val="323232"/>
        <w:spacing w:val="10"/>
        <w:sz w:val="18"/>
        <w:szCs w:val="18"/>
      </w:rPr>
      <w:t>a Zrinskog 11, HR-10000 Zagreb - www.hazu.hr - telefon: +385 1 4895 111 -</w:t>
    </w:r>
  </w:p>
  <w:p w:rsidR="00E94F01" w:rsidRDefault="00E94F01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>
      <w:rPr>
        <w:rFonts w:ascii="Calisto MT" w:hAnsi="Calisto MT" w:cs="Tahoma"/>
        <w:color w:val="323232"/>
        <w:spacing w:val="10"/>
        <w:sz w:val="18"/>
        <w:szCs w:val="18"/>
      </w:rPr>
      <w:t>telefaks: +385 1  4819 979 - e-adresa: kabpred@hazu.hr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13E" w:rsidRPr="007D413E" w:rsidRDefault="007D413E" w:rsidP="007D41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7D0" w:rsidRDefault="002217D0">
      <w:r>
        <w:separator/>
      </w:r>
    </w:p>
  </w:footnote>
  <w:footnote w:type="continuationSeparator" w:id="0">
    <w:p w:rsidR="002217D0" w:rsidRDefault="00221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F01" w:rsidRDefault="00A3753F" w:rsidP="00757724">
    <w:pPr>
      <w:pStyle w:val="Header"/>
      <w:jc w:val="center"/>
      <w:rPr>
        <w:noProof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2389505</wp:posOffset>
          </wp:positionH>
          <wp:positionV relativeFrom="paragraph">
            <wp:posOffset>62230</wp:posOffset>
          </wp:positionV>
          <wp:extent cx="866775" cy="914400"/>
          <wp:effectExtent l="0" t="0" r="0" b="0"/>
          <wp:wrapTight wrapText="bothSides">
            <wp:wrapPolygon edited="0">
              <wp:start x="0" y="0"/>
              <wp:lineTo x="0" y="21150"/>
              <wp:lineTo x="21363" y="21150"/>
              <wp:lineTo x="21363" y="0"/>
              <wp:lineTo x="0" y="0"/>
            </wp:wrapPolygon>
          </wp:wrapTight>
          <wp:docPr id="2" name="Picture 1" descr="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239" r="41557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4F01" w:rsidRDefault="00E94F01">
    <w:pPr>
      <w:pStyle w:val="Header"/>
      <w:jc w:val="center"/>
    </w:pPr>
  </w:p>
  <w:p w:rsidR="00E94F01" w:rsidRDefault="00E94F01">
    <w:pPr>
      <w:pStyle w:val="Header"/>
      <w:tabs>
        <w:tab w:val="clear" w:pos="4153"/>
      </w:tabs>
      <w:ind w:left="709"/>
      <w:rPr>
        <w:color w:val="323232"/>
      </w:rPr>
    </w:pPr>
    <w:r>
      <w:rPr>
        <w:color w:val="323232"/>
      </w:rPr>
      <w:t>HRVATSKA AKADEMIJA                               CROATIAN ACADEMY</w:t>
    </w:r>
  </w:p>
  <w:p w:rsidR="00E94F01" w:rsidRDefault="00E94F01">
    <w:pPr>
      <w:pStyle w:val="Header"/>
      <w:ind w:left="567"/>
      <w:rPr>
        <w:color w:val="323232"/>
      </w:rPr>
    </w:pPr>
    <w:r>
      <w:rPr>
        <w:color w:val="323232"/>
      </w:rPr>
      <w:t>ZNANOSTI I UMJETNOSTI                                OF SCIENCES AND ARTS</w:t>
    </w:r>
  </w:p>
  <w:p w:rsidR="00E94F01" w:rsidRDefault="00E94F0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13E" w:rsidRDefault="007D413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B6"/>
    <w:rsid w:val="00057C14"/>
    <w:rsid w:val="001066B0"/>
    <w:rsid w:val="002217D0"/>
    <w:rsid w:val="00324706"/>
    <w:rsid w:val="00424E6C"/>
    <w:rsid w:val="004A00B6"/>
    <w:rsid w:val="00592DC8"/>
    <w:rsid w:val="0065552F"/>
    <w:rsid w:val="006C4A6C"/>
    <w:rsid w:val="00757724"/>
    <w:rsid w:val="007D413E"/>
    <w:rsid w:val="00910FF0"/>
    <w:rsid w:val="00A3753F"/>
    <w:rsid w:val="00A45DCA"/>
    <w:rsid w:val="00A84AE5"/>
    <w:rsid w:val="00CB6D2C"/>
    <w:rsid w:val="00D00CC0"/>
    <w:rsid w:val="00D34833"/>
    <w:rsid w:val="00E83779"/>
    <w:rsid w:val="00E9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90D6B7"/>
  <w15:docId w15:val="{6AE9AE28-B0E7-440F-AF7D-EE19877C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semiHidden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spacing w:after="120"/>
    </w:p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NaslovTh2">
    <w:name w:val="NaslovTh2"/>
    <w:basedOn w:val="Normal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GPolettoRui">
    <w:name w:val="G Poletto Ružić"/>
    <w:semiHidden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qFormat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0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 HAZU predstavljanje edicije Josip Kosor Djela_08 12_za medije</vt:lpstr>
      <vt:lpstr>U HAZU predstavljanje edicije Josip Kosor Djela_08 12_za medije</vt:lpstr>
    </vt:vector>
  </TitlesOfParts>
  <Company>HAZU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 medije</dc:title>
  <dc:creator>HAZU</dc:creator>
  <cp:lastModifiedBy>Gordana Poletto Ružić</cp:lastModifiedBy>
  <cp:revision>2</cp:revision>
  <cp:lastPrinted>2017-05-30T12:25:00Z</cp:lastPrinted>
  <dcterms:created xsi:type="dcterms:W3CDTF">2017-06-07T08:33:00Z</dcterms:created>
  <dcterms:modified xsi:type="dcterms:W3CDTF">2017-06-07T08:33:00Z</dcterms:modified>
</cp:coreProperties>
</file>