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072" w:rsidRPr="00764D03" w:rsidRDefault="00764D03">
      <w:pPr>
        <w:pStyle w:val="Header"/>
        <w:tabs>
          <w:tab w:val="clear" w:pos="4153"/>
          <w:tab w:val="clear" w:pos="8306"/>
        </w:tabs>
        <w:rPr>
          <w:rFonts w:ascii="Verdana" w:hAnsi="Verdana"/>
          <w:b/>
          <w:sz w:val="22"/>
          <w:szCs w:val="22"/>
        </w:rPr>
      </w:pPr>
      <w:r w:rsidRPr="00764D03">
        <w:rPr>
          <w:rFonts w:ascii="Verdana" w:hAnsi="Verdana"/>
          <w:b/>
          <w:sz w:val="22"/>
          <w:szCs w:val="22"/>
        </w:rPr>
        <w:t>POZIV ZA MEDIJE</w:t>
      </w:r>
    </w:p>
    <w:p w:rsidR="004C191D" w:rsidRPr="00764D03" w:rsidRDefault="004C191D">
      <w:pPr>
        <w:pStyle w:val="Heading4"/>
        <w:tabs>
          <w:tab w:val="clear" w:pos="6885"/>
        </w:tabs>
        <w:rPr>
          <w:rFonts w:ascii="Verdana" w:hAnsi="Verdana" w:cstheme="minorHAnsi"/>
          <w:b/>
          <w:i w:val="0"/>
        </w:rPr>
      </w:pPr>
    </w:p>
    <w:p w:rsidR="004C191D" w:rsidRPr="00764D03" w:rsidRDefault="004C191D">
      <w:pPr>
        <w:pStyle w:val="Heading4"/>
        <w:tabs>
          <w:tab w:val="clear" w:pos="6885"/>
        </w:tabs>
        <w:rPr>
          <w:rFonts w:ascii="Verdana" w:hAnsi="Verdana" w:cstheme="minorHAnsi"/>
          <w:b/>
          <w:i w:val="0"/>
        </w:rPr>
      </w:pPr>
    </w:p>
    <w:p w:rsidR="006238D8" w:rsidRPr="00764D03" w:rsidRDefault="006238D8" w:rsidP="004C191D">
      <w:pPr>
        <w:pStyle w:val="Heading4"/>
        <w:tabs>
          <w:tab w:val="clear" w:pos="6885"/>
        </w:tabs>
        <w:spacing w:after="120"/>
        <w:rPr>
          <w:rFonts w:ascii="Verdana" w:hAnsi="Verdana" w:cstheme="minorHAnsi"/>
          <w:b/>
          <w:i w:val="0"/>
        </w:rPr>
      </w:pPr>
      <w:r w:rsidRPr="00764D03">
        <w:rPr>
          <w:rFonts w:ascii="Verdana" w:hAnsi="Verdana" w:cstheme="minorHAnsi"/>
          <w:b/>
          <w:i w:val="0"/>
        </w:rPr>
        <w:t>HRVATSKA AKADEMIJA ZNANOSTI I UMJETNOSTI</w:t>
      </w:r>
    </w:p>
    <w:p w:rsidR="00CE1072" w:rsidRPr="00764D03" w:rsidRDefault="00DF14B6">
      <w:pPr>
        <w:pStyle w:val="Heading4"/>
        <w:tabs>
          <w:tab w:val="clear" w:pos="6885"/>
        </w:tabs>
        <w:rPr>
          <w:rFonts w:ascii="Verdana" w:hAnsi="Verdana" w:cstheme="minorHAnsi"/>
          <w:b/>
          <w:i w:val="0"/>
          <w:caps/>
        </w:rPr>
      </w:pPr>
      <w:r w:rsidRPr="00764D03">
        <w:rPr>
          <w:rFonts w:ascii="Verdana" w:hAnsi="Verdana" w:cstheme="minorHAnsi"/>
          <w:b/>
          <w:i w:val="0"/>
          <w:caps/>
        </w:rPr>
        <w:t>Znanstveno vijeće za državnu upravu, pravosuđe i vladavinu prava</w:t>
      </w:r>
    </w:p>
    <w:p w:rsidR="00CE1072" w:rsidRPr="00764D03" w:rsidRDefault="00CE1072">
      <w:pPr>
        <w:rPr>
          <w:rFonts w:ascii="Verdana" w:hAnsi="Verdana"/>
          <w:lang w:val="it-IT"/>
        </w:rPr>
      </w:pPr>
    </w:p>
    <w:p w:rsidR="00CE1072" w:rsidRPr="00764D03" w:rsidRDefault="006238D8" w:rsidP="004C191D">
      <w:pPr>
        <w:jc w:val="center"/>
        <w:rPr>
          <w:rFonts w:ascii="Verdana" w:hAnsi="Verdana"/>
          <w:lang w:val="it-IT"/>
        </w:rPr>
      </w:pPr>
      <w:r w:rsidRPr="00764D03">
        <w:rPr>
          <w:rFonts w:ascii="Verdana" w:hAnsi="Verdana"/>
          <w:lang w:val="it-IT"/>
        </w:rPr>
        <w:t>organizira i poziva Vas na Okrugli stol</w:t>
      </w:r>
    </w:p>
    <w:p w:rsidR="00CE1072" w:rsidRPr="00764D03" w:rsidRDefault="00CE1072">
      <w:pPr>
        <w:rPr>
          <w:rFonts w:ascii="Verdana" w:hAnsi="Verdana"/>
          <w:lang w:val="it-IT"/>
        </w:rPr>
      </w:pPr>
    </w:p>
    <w:p w:rsidR="004C191D" w:rsidRPr="00764D03" w:rsidRDefault="004C191D">
      <w:pPr>
        <w:rPr>
          <w:rFonts w:ascii="Verdana" w:hAnsi="Verdana"/>
          <w:lang w:val="it-IT"/>
        </w:rPr>
      </w:pPr>
    </w:p>
    <w:p w:rsidR="00CE1072" w:rsidRPr="00764D03" w:rsidRDefault="00E23526">
      <w:pPr>
        <w:spacing w:after="100"/>
        <w:ind w:left="720" w:hanging="720"/>
        <w:jc w:val="center"/>
        <w:rPr>
          <w:rFonts w:ascii="Verdana" w:hAnsi="Verdana" w:cstheme="minorHAnsi"/>
          <w:b/>
          <w:caps/>
          <w:spacing w:val="30"/>
          <w:sz w:val="28"/>
          <w:szCs w:val="28"/>
        </w:rPr>
      </w:pPr>
      <w:bookmarkStart w:id="0" w:name="_GoBack"/>
      <w:bookmarkEnd w:id="0"/>
      <w:r>
        <w:rPr>
          <w:rFonts w:ascii="Verdana" w:hAnsi="Verdana" w:cstheme="minorHAnsi"/>
          <w:b/>
          <w:caps/>
          <w:spacing w:val="30"/>
          <w:sz w:val="28"/>
          <w:szCs w:val="28"/>
        </w:rPr>
        <w:t>UPRAVNO SUDOVANJE U HRVATSKOJ</w:t>
      </w:r>
    </w:p>
    <w:p w:rsidR="004C191D" w:rsidRPr="00764D03" w:rsidRDefault="004C191D">
      <w:pPr>
        <w:spacing w:after="100"/>
        <w:ind w:left="720" w:hanging="720"/>
        <w:jc w:val="center"/>
        <w:rPr>
          <w:rFonts w:ascii="Verdana" w:hAnsi="Verdana" w:cstheme="minorHAnsi"/>
          <w:b/>
          <w:caps/>
          <w:spacing w:val="30"/>
          <w:sz w:val="28"/>
          <w:szCs w:val="28"/>
          <w:lang w:eastAsia="en-US"/>
        </w:rPr>
      </w:pPr>
    </w:p>
    <w:p w:rsidR="004C191D" w:rsidRPr="00764D03" w:rsidRDefault="00DF14B6">
      <w:pPr>
        <w:jc w:val="center"/>
        <w:rPr>
          <w:rFonts w:ascii="Verdana" w:hAnsi="Verdana"/>
        </w:rPr>
      </w:pPr>
      <w:r w:rsidRPr="00764D03">
        <w:rPr>
          <w:rFonts w:ascii="Verdana" w:hAnsi="Verdana"/>
        </w:rPr>
        <w:t xml:space="preserve">u </w:t>
      </w:r>
      <w:proofErr w:type="spellStart"/>
      <w:r w:rsidR="00E23526">
        <w:rPr>
          <w:rFonts w:ascii="Verdana" w:hAnsi="Verdana"/>
        </w:rPr>
        <w:t>četvrrtak</w:t>
      </w:r>
      <w:proofErr w:type="spellEnd"/>
      <w:r w:rsidR="00E23526">
        <w:rPr>
          <w:rFonts w:ascii="Verdana" w:hAnsi="Verdana"/>
        </w:rPr>
        <w:t xml:space="preserve">, 29. lipnja 2017. </w:t>
      </w:r>
      <w:r w:rsidR="004C191D" w:rsidRPr="00764D03">
        <w:rPr>
          <w:rFonts w:ascii="Verdana" w:hAnsi="Verdana"/>
        </w:rPr>
        <w:t>s početkom u 10 sati</w:t>
      </w:r>
    </w:p>
    <w:p w:rsidR="00CE1072" w:rsidRPr="00764D03" w:rsidRDefault="00DF14B6">
      <w:pPr>
        <w:jc w:val="center"/>
        <w:rPr>
          <w:rFonts w:ascii="Verdana" w:hAnsi="Verdana"/>
          <w:lang w:eastAsia="en-US"/>
        </w:rPr>
      </w:pPr>
      <w:r w:rsidRPr="00764D03">
        <w:rPr>
          <w:rFonts w:ascii="Verdana" w:hAnsi="Verdana"/>
        </w:rPr>
        <w:t xml:space="preserve">u </w:t>
      </w:r>
      <w:r w:rsidR="00E23526">
        <w:rPr>
          <w:rFonts w:ascii="Verdana" w:hAnsi="Verdana"/>
        </w:rPr>
        <w:t xml:space="preserve">atriju </w:t>
      </w:r>
      <w:r w:rsidRPr="00764D03">
        <w:rPr>
          <w:rFonts w:ascii="Verdana" w:hAnsi="Verdana"/>
        </w:rPr>
        <w:t xml:space="preserve">Palače Akademije u Zagrebu, Zrinski trg 11 </w:t>
      </w:r>
    </w:p>
    <w:p w:rsidR="00CE1072" w:rsidRPr="00764D03" w:rsidRDefault="00CE1072">
      <w:pPr>
        <w:ind w:firstLine="708"/>
        <w:jc w:val="both"/>
        <w:rPr>
          <w:rFonts w:ascii="Verdana" w:hAnsi="Verdana"/>
          <w:lang w:eastAsia="en-US"/>
        </w:rPr>
      </w:pPr>
    </w:p>
    <w:p w:rsidR="004C191D" w:rsidRPr="00764D03" w:rsidRDefault="004C191D">
      <w:pPr>
        <w:ind w:firstLine="708"/>
        <w:jc w:val="both"/>
        <w:rPr>
          <w:rFonts w:ascii="Verdana" w:hAnsi="Verdana"/>
          <w:lang w:eastAsia="en-US"/>
        </w:rPr>
      </w:pPr>
    </w:p>
    <w:p w:rsidR="004C191D" w:rsidRPr="00764D03" w:rsidRDefault="00DF14B6" w:rsidP="004C191D">
      <w:pPr>
        <w:ind w:firstLine="708"/>
        <w:jc w:val="center"/>
        <w:rPr>
          <w:rFonts w:ascii="Verdana" w:hAnsi="Verdana"/>
        </w:rPr>
      </w:pPr>
      <w:r w:rsidRPr="00764D03">
        <w:rPr>
          <w:rFonts w:ascii="Verdana" w:hAnsi="Verdana"/>
        </w:rPr>
        <w:t>Rasprava će se voditi na temelju uvodnih izlaganja</w:t>
      </w:r>
      <w:r w:rsidR="004C191D" w:rsidRPr="00764D03">
        <w:rPr>
          <w:rFonts w:ascii="Verdana" w:hAnsi="Verdana"/>
        </w:rPr>
        <w:t>:</w:t>
      </w:r>
    </w:p>
    <w:p w:rsidR="00CE1072" w:rsidRPr="00764D03" w:rsidRDefault="00CE1072">
      <w:pPr>
        <w:jc w:val="center"/>
        <w:rPr>
          <w:rFonts w:ascii="Verdana" w:hAnsi="Verdana"/>
          <w:b/>
          <w:lang w:eastAsia="en-US"/>
        </w:rPr>
      </w:pPr>
    </w:p>
    <w:p w:rsidR="00E23526" w:rsidRPr="00E23526" w:rsidRDefault="00E23526" w:rsidP="00E23526">
      <w:pPr>
        <w:overflowPunct/>
        <w:autoSpaceDE/>
        <w:autoSpaceDN/>
        <w:adjustRightInd/>
        <w:spacing w:after="60"/>
        <w:jc w:val="center"/>
        <w:textAlignment w:val="auto"/>
        <w:rPr>
          <w:rFonts w:ascii="Verdana" w:hAnsi="Verdana"/>
          <w:sz w:val="22"/>
          <w:szCs w:val="22"/>
        </w:rPr>
      </w:pPr>
      <w:r w:rsidRPr="00E23526">
        <w:rPr>
          <w:rFonts w:ascii="Verdana" w:hAnsi="Verdana"/>
          <w:sz w:val="22"/>
          <w:szCs w:val="22"/>
        </w:rPr>
        <w:t xml:space="preserve">Prof.dr.sc. </w:t>
      </w:r>
      <w:r w:rsidRPr="00E23526">
        <w:rPr>
          <w:rFonts w:ascii="Verdana" w:hAnsi="Verdana"/>
          <w:b/>
          <w:sz w:val="22"/>
          <w:szCs w:val="22"/>
        </w:rPr>
        <w:t>Dragan Medvedović</w:t>
      </w:r>
      <w:r w:rsidRPr="00E23526">
        <w:rPr>
          <w:rFonts w:ascii="Verdana" w:hAnsi="Verdana"/>
          <w:sz w:val="22"/>
          <w:szCs w:val="22"/>
        </w:rPr>
        <w:t>, Pravni fakultet Sveučilišta u Zagrebu</w:t>
      </w:r>
    </w:p>
    <w:p w:rsidR="00E23526" w:rsidRPr="00E23526" w:rsidRDefault="00E23526" w:rsidP="00E23526">
      <w:pPr>
        <w:overflowPunct/>
        <w:autoSpaceDE/>
        <w:autoSpaceDN/>
        <w:adjustRightInd/>
        <w:jc w:val="center"/>
        <w:textAlignment w:val="auto"/>
        <w:rPr>
          <w:rFonts w:ascii="Verdana" w:hAnsi="Verdana"/>
          <w:i/>
          <w:sz w:val="22"/>
          <w:szCs w:val="22"/>
        </w:rPr>
      </w:pPr>
      <w:r w:rsidRPr="00E23526">
        <w:rPr>
          <w:rFonts w:ascii="Verdana" w:hAnsi="Verdana"/>
          <w:i/>
          <w:sz w:val="22"/>
          <w:szCs w:val="22"/>
        </w:rPr>
        <w:t>Povijesni pregled organizacije upravnog sudstva u Hrvatskoj</w:t>
      </w:r>
    </w:p>
    <w:p w:rsidR="00E23526" w:rsidRPr="00E23526" w:rsidRDefault="00E23526" w:rsidP="00E23526">
      <w:pPr>
        <w:overflowPunct/>
        <w:autoSpaceDE/>
        <w:autoSpaceDN/>
        <w:adjustRightInd/>
        <w:jc w:val="center"/>
        <w:textAlignment w:val="auto"/>
        <w:rPr>
          <w:rFonts w:ascii="Verdana" w:hAnsi="Verdana"/>
          <w:sz w:val="22"/>
          <w:szCs w:val="22"/>
        </w:rPr>
      </w:pPr>
    </w:p>
    <w:p w:rsidR="00E23526" w:rsidRPr="00E23526" w:rsidRDefault="00E23526" w:rsidP="00E23526">
      <w:pPr>
        <w:overflowPunct/>
        <w:autoSpaceDE/>
        <w:autoSpaceDN/>
        <w:adjustRightInd/>
        <w:jc w:val="center"/>
        <w:textAlignment w:val="auto"/>
        <w:rPr>
          <w:rFonts w:ascii="Verdana" w:hAnsi="Verdana"/>
          <w:sz w:val="22"/>
          <w:szCs w:val="22"/>
        </w:rPr>
      </w:pPr>
      <w:r w:rsidRPr="00E23526">
        <w:rPr>
          <w:rFonts w:ascii="Verdana" w:hAnsi="Verdana"/>
          <w:sz w:val="22"/>
          <w:szCs w:val="22"/>
        </w:rPr>
        <w:t xml:space="preserve">Prof.dr.sc. </w:t>
      </w:r>
      <w:r w:rsidRPr="00E23526">
        <w:rPr>
          <w:rFonts w:ascii="Verdana" w:hAnsi="Verdana"/>
          <w:b/>
          <w:sz w:val="22"/>
          <w:szCs w:val="22"/>
        </w:rPr>
        <w:t xml:space="preserve">Dario </w:t>
      </w:r>
      <w:proofErr w:type="spellStart"/>
      <w:r w:rsidRPr="00E23526">
        <w:rPr>
          <w:rFonts w:ascii="Verdana" w:hAnsi="Verdana"/>
          <w:b/>
          <w:sz w:val="22"/>
          <w:szCs w:val="22"/>
        </w:rPr>
        <w:t>Đerđa</w:t>
      </w:r>
      <w:proofErr w:type="spellEnd"/>
      <w:r w:rsidRPr="00E23526">
        <w:rPr>
          <w:rFonts w:ascii="Verdana" w:hAnsi="Verdana"/>
          <w:sz w:val="22"/>
          <w:szCs w:val="22"/>
        </w:rPr>
        <w:t>, Pravni fakultet Sveučilišta u Rijeci</w:t>
      </w:r>
    </w:p>
    <w:p w:rsidR="00E23526" w:rsidRPr="00E23526" w:rsidRDefault="00E23526" w:rsidP="00E23526">
      <w:pPr>
        <w:overflowPunct/>
        <w:autoSpaceDE/>
        <w:autoSpaceDN/>
        <w:adjustRightInd/>
        <w:spacing w:after="60"/>
        <w:jc w:val="center"/>
        <w:textAlignment w:val="auto"/>
        <w:rPr>
          <w:rFonts w:ascii="Verdana" w:hAnsi="Verdana"/>
          <w:sz w:val="22"/>
          <w:szCs w:val="22"/>
        </w:rPr>
      </w:pPr>
      <w:r w:rsidRPr="00E23526">
        <w:rPr>
          <w:rFonts w:ascii="Verdana" w:hAnsi="Verdana"/>
          <w:b/>
          <w:sz w:val="22"/>
          <w:szCs w:val="22"/>
        </w:rPr>
        <w:t>Ante Galić</w:t>
      </w:r>
      <w:r w:rsidRPr="00E23526">
        <w:rPr>
          <w:rFonts w:ascii="Verdana" w:hAnsi="Verdana"/>
          <w:sz w:val="22"/>
          <w:szCs w:val="22"/>
        </w:rPr>
        <w:t>, Visoki upravni sud Republike Hrvatske</w:t>
      </w:r>
    </w:p>
    <w:p w:rsidR="00E23526" w:rsidRPr="00E23526" w:rsidRDefault="00E23526" w:rsidP="00E23526">
      <w:pPr>
        <w:overflowPunct/>
        <w:autoSpaceDE/>
        <w:autoSpaceDN/>
        <w:adjustRightInd/>
        <w:jc w:val="center"/>
        <w:textAlignment w:val="auto"/>
        <w:rPr>
          <w:rFonts w:ascii="Verdana" w:hAnsi="Verdana"/>
          <w:i/>
          <w:sz w:val="22"/>
          <w:szCs w:val="22"/>
        </w:rPr>
      </w:pPr>
      <w:r w:rsidRPr="00E23526">
        <w:rPr>
          <w:rFonts w:ascii="Verdana" w:hAnsi="Verdana"/>
          <w:i/>
          <w:sz w:val="22"/>
          <w:szCs w:val="22"/>
        </w:rPr>
        <w:t>Upravni spor kao jamstvo zakonitosti rada uprave</w:t>
      </w:r>
    </w:p>
    <w:p w:rsidR="00E23526" w:rsidRPr="00E23526" w:rsidRDefault="00E23526" w:rsidP="00E23526">
      <w:pPr>
        <w:overflowPunct/>
        <w:autoSpaceDE/>
        <w:autoSpaceDN/>
        <w:adjustRightInd/>
        <w:jc w:val="center"/>
        <w:textAlignment w:val="auto"/>
        <w:rPr>
          <w:rFonts w:ascii="Verdana" w:hAnsi="Verdana"/>
          <w:sz w:val="22"/>
          <w:szCs w:val="22"/>
        </w:rPr>
      </w:pPr>
    </w:p>
    <w:p w:rsidR="00E23526" w:rsidRPr="00E23526" w:rsidRDefault="00E23526" w:rsidP="00E23526">
      <w:pPr>
        <w:overflowPunct/>
        <w:autoSpaceDE/>
        <w:autoSpaceDN/>
        <w:adjustRightInd/>
        <w:spacing w:after="60"/>
        <w:jc w:val="center"/>
        <w:textAlignment w:val="auto"/>
        <w:rPr>
          <w:rFonts w:ascii="Verdana" w:hAnsi="Verdana"/>
          <w:sz w:val="22"/>
          <w:szCs w:val="22"/>
        </w:rPr>
      </w:pPr>
      <w:r w:rsidRPr="00E23526">
        <w:rPr>
          <w:rFonts w:ascii="Verdana" w:hAnsi="Verdana"/>
          <w:b/>
          <w:sz w:val="22"/>
          <w:szCs w:val="22"/>
        </w:rPr>
        <w:t xml:space="preserve">Damir </w:t>
      </w:r>
      <w:proofErr w:type="spellStart"/>
      <w:r w:rsidRPr="00E23526">
        <w:rPr>
          <w:rFonts w:ascii="Verdana" w:hAnsi="Verdana"/>
          <w:b/>
          <w:sz w:val="22"/>
          <w:szCs w:val="22"/>
        </w:rPr>
        <w:t>Kontrec</w:t>
      </w:r>
      <w:proofErr w:type="spellEnd"/>
      <w:r w:rsidRPr="00E23526">
        <w:rPr>
          <w:rFonts w:ascii="Verdana" w:hAnsi="Verdana"/>
          <w:sz w:val="22"/>
          <w:szCs w:val="22"/>
        </w:rPr>
        <w:t>, Vrhovni sud Republike Hrvatske</w:t>
      </w:r>
    </w:p>
    <w:p w:rsidR="00E23526" w:rsidRPr="00E23526" w:rsidRDefault="00E23526" w:rsidP="00E23526">
      <w:pPr>
        <w:overflowPunct/>
        <w:autoSpaceDE/>
        <w:autoSpaceDN/>
        <w:adjustRightInd/>
        <w:jc w:val="center"/>
        <w:textAlignment w:val="auto"/>
        <w:rPr>
          <w:rFonts w:ascii="Verdana" w:hAnsi="Verdana"/>
          <w:i/>
          <w:sz w:val="22"/>
          <w:szCs w:val="22"/>
        </w:rPr>
      </w:pPr>
      <w:r w:rsidRPr="00E23526">
        <w:rPr>
          <w:rFonts w:ascii="Verdana" w:hAnsi="Verdana"/>
          <w:i/>
          <w:sz w:val="22"/>
          <w:szCs w:val="22"/>
        </w:rPr>
        <w:t>Kontrolne ovlasti Vrhovnog suda Republike Hrvatske povodom odlučivanja o zahtjevu za izvanredno preispitivanje pravomoćne sudske odluke</w:t>
      </w:r>
    </w:p>
    <w:p w:rsidR="00E23526" w:rsidRPr="00E23526" w:rsidRDefault="00E23526" w:rsidP="00E23526">
      <w:pPr>
        <w:overflowPunct/>
        <w:autoSpaceDE/>
        <w:autoSpaceDN/>
        <w:adjustRightInd/>
        <w:jc w:val="center"/>
        <w:textAlignment w:val="auto"/>
        <w:rPr>
          <w:rFonts w:ascii="Verdana" w:hAnsi="Verdana"/>
          <w:b/>
          <w:sz w:val="22"/>
          <w:szCs w:val="22"/>
        </w:rPr>
      </w:pPr>
    </w:p>
    <w:p w:rsidR="00E23526" w:rsidRPr="00E23526" w:rsidRDefault="00E23526" w:rsidP="00E23526">
      <w:pPr>
        <w:overflowPunct/>
        <w:autoSpaceDE/>
        <w:autoSpaceDN/>
        <w:adjustRightInd/>
        <w:spacing w:after="60"/>
        <w:jc w:val="center"/>
        <w:textAlignment w:val="auto"/>
        <w:rPr>
          <w:rFonts w:ascii="Verdana" w:hAnsi="Verdana"/>
          <w:sz w:val="22"/>
          <w:szCs w:val="22"/>
        </w:rPr>
      </w:pPr>
      <w:r w:rsidRPr="00E23526">
        <w:rPr>
          <w:rFonts w:ascii="Verdana" w:hAnsi="Verdana"/>
          <w:sz w:val="22"/>
          <w:szCs w:val="22"/>
        </w:rPr>
        <w:t>Prof.</w:t>
      </w:r>
      <w:r>
        <w:rPr>
          <w:rFonts w:ascii="Verdana" w:hAnsi="Verdana"/>
          <w:sz w:val="22"/>
          <w:szCs w:val="22"/>
        </w:rPr>
        <w:t xml:space="preserve"> </w:t>
      </w:r>
      <w:r w:rsidRPr="00E23526">
        <w:rPr>
          <w:rFonts w:ascii="Verdana" w:hAnsi="Verdana"/>
          <w:sz w:val="22"/>
          <w:szCs w:val="22"/>
        </w:rPr>
        <w:t>dr.</w:t>
      </w:r>
      <w:r>
        <w:rPr>
          <w:rFonts w:ascii="Verdana" w:hAnsi="Verdana"/>
          <w:sz w:val="22"/>
          <w:szCs w:val="22"/>
        </w:rPr>
        <w:t xml:space="preserve"> </w:t>
      </w:r>
      <w:proofErr w:type="spellStart"/>
      <w:r w:rsidRPr="00E23526">
        <w:rPr>
          <w:rFonts w:ascii="Verdana" w:hAnsi="Verdana"/>
          <w:sz w:val="22"/>
          <w:szCs w:val="22"/>
        </w:rPr>
        <w:t>sc</w:t>
      </w:r>
      <w:proofErr w:type="spellEnd"/>
      <w:r w:rsidRPr="00E23526">
        <w:rPr>
          <w:rFonts w:ascii="Verdana" w:hAnsi="Verdana"/>
          <w:sz w:val="22"/>
          <w:szCs w:val="22"/>
        </w:rPr>
        <w:t xml:space="preserve">. </w:t>
      </w:r>
      <w:r w:rsidRPr="00E23526">
        <w:rPr>
          <w:rFonts w:ascii="Verdana" w:hAnsi="Verdana"/>
          <w:b/>
          <w:sz w:val="22"/>
          <w:szCs w:val="22"/>
        </w:rPr>
        <w:t xml:space="preserve">Jasna </w:t>
      </w:r>
      <w:proofErr w:type="spellStart"/>
      <w:r w:rsidRPr="00E23526">
        <w:rPr>
          <w:rFonts w:ascii="Verdana" w:hAnsi="Verdana"/>
          <w:b/>
          <w:sz w:val="22"/>
          <w:szCs w:val="22"/>
        </w:rPr>
        <w:t>Omejec</w:t>
      </w:r>
      <w:proofErr w:type="spellEnd"/>
      <w:r w:rsidRPr="00E23526">
        <w:rPr>
          <w:rFonts w:ascii="Verdana" w:hAnsi="Verdana"/>
          <w:sz w:val="22"/>
          <w:szCs w:val="22"/>
        </w:rPr>
        <w:t>, Pravni fakultet Sveučilišta u Zagrebu</w:t>
      </w:r>
    </w:p>
    <w:p w:rsidR="00E23526" w:rsidRPr="00E23526" w:rsidRDefault="00E23526" w:rsidP="00E23526">
      <w:pPr>
        <w:overflowPunct/>
        <w:autoSpaceDE/>
        <w:autoSpaceDN/>
        <w:adjustRightInd/>
        <w:jc w:val="center"/>
        <w:textAlignment w:val="auto"/>
        <w:rPr>
          <w:rFonts w:ascii="Verdana" w:hAnsi="Verdana"/>
          <w:i/>
          <w:sz w:val="22"/>
          <w:szCs w:val="22"/>
        </w:rPr>
      </w:pPr>
      <w:r w:rsidRPr="00E23526">
        <w:rPr>
          <w:rFonts w:ascii="Verdana" w:hAnsi="Verdana"/>
          <w:i/>
          <w:sz w:val="22"/>
          <w:szCs w:val="22"/>
        </w:rPr>
        <w:t>Uloga upravnog sudstva u zaštiti i promicanju hrvatskih ustavnih vrednota</w:t>
      </w:r>
    </w:p>
    <w:p w:rsidR="00E23526" w:rsidRPr="00E23526" w:rsidRDefault="00E23526" w:rsidP="00E23526">
      <w:pPr>
        <w:overflowPunct/>
        <w:autoSpaceDE/>
        <w:autoSpaceDN/>
        <w:adjustRightInd/>
        <w:jc w:val="center"/>
        <w:textAlignment w:val="auto"/>
        <w:rPr>
          <w:rFonts w:ascii="Verdana" w:hAnsi="Verdana"/>
          <w:sz w:val="22"/>
          <w:szCs w:val="22"/>
        </w:rPr>
      </w:pPr>
    </w:p>
    <w:p w:rsidR="00E23526" w:rsidRPr="00E23526" w:rsidRDefault="00E23526" w:rsidP="00E23526">
      <w:pPr>
        <w:overflowPunct/>
        <w:autoSpaceDE/>
        <w:autoSpaceDN/>
        <w:adjustRightInd/>
        <w:spacing w:after="60"/>
        <w:jc w:val="center"/>
        <w:textAlignment w:val="auto"/>
        <w:rPr>
          <w:rFonts w:ascii="Verdana" w:hAnsi="Verdana"/>
          <w:sz w:val="22"/>
          <w:szCs w:val="22"/>
        </w:rPr>
      </w:pPr>
      <w:r w:rsidRPr="00E23526">
        <w:rPr>
          <w:rFonts w:ascii="Verdana" w:hAnsi="Verdana"/>
          <w:sz w:val="22"/>
          <w:szCs w:val="22"/>
        </w:rPr>
        <w:t>Prof.</w:t>
      </w:r>
      <w:r>
        <w:rPr>
          <w:rFonts w:ascii="Verdana" w:hAnsi="Verdana"/>
          <w:sz w:val="22"/>
          <w:szCs w:val="22"/>
        </w:rPr>
        <w:t xml:space="preserve"> </w:t>
      </w:r>
      <w:r w:rsidRPr="00E23526">
        <w:rPr>
          <w:rFonts w:ascii="Verdana" w:hAnsi="Verdana"/>
          <w:sz w:val="22"/>
          <w:szCs w:val="22"/>
        </w:rPr>
        <w:t>dr.</w:t>
      </w:r>
      <w:r>
        <w:rPr>
          <w:rFonts w:ascii="Verdana" w:hAnsi="Verdana"/>
          <w:sz w:val="22"/>
          <w:szCs w:val="22"/>
        </w:rPr>
        <w:t xml:space="preserve"> </w:t>
      </w:r>
      <w:proofErr w:type="spellStart"/>
      <w:r w:rsidRPr="00E23526">
        <w:rPr>
          <w:rFonts w:ascii="Verdana" w:hAnsi="Verdana"/>
          <w:sz w:val="22"/>
          <w:szCs w:val="22"/>
        </w:rPr>
        <w:t>sc</w:t>
      </w:r>
      <w:proofErr w:type="spellEnd"/>
      <w:r w:rsidRPr="00E23526">
        <w:rPr>
          <w:rFonts w:ascii="Verdana" w:hAnsi="Verdana"/>
          <w:sz w:val="22"/>
          <w:szCs w:val="22"/>
        </w:rPr>
        <w:t xml:space="preserve">. </w:t>
      </w:r>
      <w:r w:rsidRPr="00E23526">
        <w:rPr>
          <w:rFonts w:ascii="Verdana" w:hAnsi="Verdana"/>
          <w:b/>
          <w:sz w:val="22"/>
          <w:szCs w:val="22"/>
        </w:rPr>
        <w:t>Siniša Rodin</w:t>
      </w:r>
      <w:r w:rsidRPr="00E23526">
        <w:rPr>
          <w:rFonts w:ascii="Verdana" w:hAnsi="Verdana"/>
          <w:sz w:val="22"/>
          <w:szCs w:val="22"/>
        </w:rPr>
        <w:t>, Sud Europske unije</w:t>
      </w:r>
    </w:p>
    <w:p w:rsidR="00E23526" w:rsidRPr="00E23526" w:rsidRDefault="00E23526" w:rsidP="00E23526">
      <w:pPr>
        <w:overflowPunct/>
        <w:autoSpaceDE/>
        <w:autoSpaceDN/>
        <w:adjustRightInd/>
        <w:jc w:val="center"/>
        <w:textAlignment w:val="auto"/>
        <w:rPr>
          <w:rFonts w:ascii="Verdana" w:hAnsi="Verdana"/>
          <w:i/>
          <w:sz w:val="22"/>
          <w:szCs w:val="22"/>
        </w:rPr>
      </w:pPr>
      <w:r w:rsidRPr="00E23526">
        <w:rPr>
          <w:rFonts w:ascii="Verdana" w:hAnsi="Verdana"/>
          <w:i/>
          <w:sz w:val="22"/>
          <w:szCs w:val="22"/>
        </w:rPr>
        <w:t>Procesni aspekti kontrole zakonitosti akata Europske unije</w:t>
      </w:r>
    </w:p>
    <w:p w:rsidR="00CE1072" w:rsidRPr="00E23526" w:rsidRDefault="00CE1072" w:rsidP="00E23526">
      <w:pPr>
        <w:spacing w:before="120" w:after="120"/>
        <w:jc w:val="center"/>
        <w:rPr>
          <w:rFonts w:ascii="Verdana" w:hAnsi="Verdana"/>
          <w:i/>
          <w:sz w:val="22"/>
          <w:szCs w:val="22"/>
          <w:lang w:val="it-IT" w:eastAsia="en-US"/>
        </w:rPr>
      </w:pPr>
    </w:p>
    <w:p w:rsidR="00D55604" w:rsidRDefault="00D55604" w:rsidP="00D55604">
      <w:pPr>
        <w:spacing w:after="120" w:line="320" w:lineRule="exact"/>
        <w:jc w:val="both"/>
        <w:rPr>
          <w:rFonts w:ascii="Verdana" w:hAnsi="Verdana"/>
          <w:sz w:val="22"/>
          <w:szCs w:val="22"/>
        </w:rPr>
      </w:pPr>
    </w:p>
    <w:p w:rsidR="00E23526" w:rsidRPr="00E23526" w:rsidRDefault="00E23526" w:rsidP="00D55604">
      <w:pPr>
        <w:spacing w:after="120" w:line="320" w:lineRule="exact"/>
        <w:jc w:val="both"/>
        <w:rPr>
          <w:rFonts w:ascii="Verdana" w:hAnsi="Verdana"/>
          <w:sz w:val="22"/>
          <w:szCs w:val="22"/>
        </w:rPr>
      </w:pPr>
      <w:proofErr w:type="spellStart"/>
      <w:r w:rsidRPr="00E23526">
        <w:rPr>
          <w:rFonts w:ascii="Verdana" w:hAnsi="Verdana"/>
          <w:sz w:val="22"/>
          <w:szCs w:val="22"/>
        </w:rPr>
        <w:t>Upravnosudska</w:t>
      </w:r>
      <w:proofErr w:type="spellEnd"/>
      <w:r w:rsidRPr="00E23526">
        <w:rPr>
          <w:rFonts w:ascii="Verdana" w:hAnsi="Verdana"/>
          <w:sz w:val="22"/>
          <w:szCs w:val="22"/>
        </w:rPr>
        <w:t xml:space="preserve"> zaštita, gledajući povijesno u različitim širim državnim zajednicama  na tlu cijele Hrvatske ili u samo pojedinim njenim dijelovima, provodi se u različitim oblicima organiziranja više od 150 godina. Prema kriteriju organizirane </w:t>
      </w:r>
      <w:proofErr w:type="spellStart"/>
      <w:r w:rsidRPr="00E23526">
        <w:rPr>
          <w:rFonts w:ascii="Verdana" w:hAnsi="Verdana"/>
          <w:sz w:val="22"/>
          <w:szCs w:val="22"/>
        </w:rPr>
        <w:t>upravnosudske</w:t>
      </w:r>
      <w:proofErr w:type="spellEnd"/>
      <w:r w:rsidRPr="00E23526">
        <w:rPr>
          <w:rFonts w:ascii="Verdana" w:hAnsi="Verdana"/>
          <w:sz w:val="22"/>
          <w:szCs w:val="22"/>
        </w:rPr>
        <w:t xml:space="preserve"> zaštite na području Hrvatske u njezinim današnjim granicama, može se govoriti o organiziranoj </w:t>
      </w:r>
      <w:proofErr w:type="spellStart"/>
      <w:r w:rsidRPr="00E23526">
        <w:rPr>
          <w:rFonts w:ascii="Verdana" w:hAnsi="Verdana"/>
          <w:sz w:val="22"/>
          <w:szCs w:val="22"/>
        </w:rPr>
        <w:t>upravnosudskoj</w:t>
      </w:r>
      <w:proofErr w:type="spellEnd"/>
      <w:r w:rsidRPr="00E23526">
        <w:rPr>
          <w:rFonts w:ascii="Verdana" w:hAnsi="Verdana"/>
          <w:sz w:val="22"/>
          <w:szCs w:val="22"/>
        </w:rPr>
        <w:t xml:space="preserve"> zaštiti koja traje kontinuirano 40 godina.</w:t>
      </w:r>
    </w:p>
    <w:p w:rsidR="00E23526" w:rsidRPr="00E23526" w:rsidRDefault="00E23526" w:rsidP="00D55604">
      <w:pPr>
        <w:spacing w:after="120" w:line="320" w:lineRule="exact"/>
        <w:jc w:val="both"/>
        <w:rPr>
          <w:rFonts w:ascii="Verdana" w:hAnsi="Verdana"/>
          <w:sz w:val="22"/>
          <w:szCs w:val="22"/>
        </w:rPr>
      </w:pPr>
      <w:r w:rsidRPr="00E23526">
        <w:rPr>
          <w:rFonts w:ascii="Verdana" w:hAnsi="Verdana"/>
          <w:sz w:val="22"/>
          <w:szCs w:val="22"/>
        </w:rPr>
        <w:lastRenderedPageBreak/>
        <w:t xml:space="preserve">Upravni sud Hrvatske ustanovljen je Zakonom o redovnim sudovima, koji je donesen početkom 1977. godine, a počeo je s radom 1. srpnja 1977. </w:t>
      </w:r>
      <w:proofErr w:type="spellStart"/>
      <w:r w:rsidRPr="00E23526">
        <w:rPr>
          <w:rFonts w:ascii="Verdana" w:hAnsi="Verdana"/>
          <w:sz w:val="22"/>
          <w:szCs w:val="22"/>
        </w:rPr>
        <w:t>Novoustanovljeni</w:t>
      </w:r>
      <w:proofErr w:type="spellEnd"/>
      <w:r w:rsidRPr="00E23526">
        <w:rPr>
          <w:rFonts w:ascii="Verdana" w:hAnsi="Verdana"/>
          <w:sz w:val="22"/>
          <w:szCs w:val="22"/>
        </w:rPr>
        <w:t xml:space="preserve"> Upravni sud preuzeo je dio nadležnosti i sve neriješene predmete upravnih sporova iz dotadašnje nadležnosti Vrhovnog suda Hrvatske i upravno-računske sporove iz nadležnosti tadašnjeg Višeg privrednog suda Hrvatske. Taj je sud rješavao upravne sporove po Zakonu o upravnim sporovima iz 1977. koji je 1991. godine  preuzet kao Zakon samostalne Republike Hrvatske.</w:t>
      </w:r>
    </w:p>
    <w:p w:rsidR="00E23526" w:rsidRPr="00E23526" w:rsidRDefault="00E23526" w:rsidP="00D55604">
      <w:pPr>
        <w:spacing w:after="120" w:line="320" w:lineRule="exact"/>
        <w:jc w:val="both"/>
        <w:rPr>
          <w:rFonts w:ascii="Verdana" w:hAnsi="Verdana"/>
          <w:sz w:val="22"/>
          <w:szCs w:val="22"/>
        </w:rPr>
      </w:pPr>
      <w:r w:rsidRPr="00E23526">
        <w:rPr>
          <w:rFonts w:ascii="Verdana" w:hAnsi="Verdana"/>
          <w:sz w:val="22"/>
          <w:szCs w:val="22"/>
        </w:rPr>
        <w:t xml:space="preserve">Takav koncept </w:t>
      </w:r>
      <w:proofErr w:type="spellStart"/>
      <w:r w:rsidRPr="00E23526">
        <w:rPr>
          <w:rFonts w:ascii="Verdana" w:hAnsi="Verdana"/>
          <w:sz w:val="22"/>
          <w:szCs w:val="22"/>
        </w:rPr>
        <w:t>upravnosudske</w:t>
      </w:r>
      <w:proofErr w:type="spellEnd"/>
      <w:r w:rsidRPr="00E23526">
        <w:rPr>
          <w:rFonts w:ascii="Verdana" w:hAnsi="Verdana"/>
          <w:sz w:val="22"/>
          <w:szCs w:val="22"/>
        </w:rPr>
        <w:t xml:space="preserve"> zaštite s jednim upravnim sudom čija se nadležnost za rješavanje upravnih sporova protezala na područje cijele države zadržao se do 1. siječnja 2012. kada je na snagu stupio novi Zakon o upravnim sporovima. </w:t>
      </w:r>
    </w:p>
    <w:p w:rsidR="00E23526" w:rsidRPr="00E23526" w:rsidRDefault="00E23526" w:rsidP="00D55604">
      <w:pPr>
        <w:spacing w:after="120" w:line="320" w:lineRule="exact"/>
        <w:jc w:val="both"/>
        <w:rPr>
          <w:rFonts w:ascii="Verdana" w:hAnsi="Verdana"/>
          <w:sz w:val="22"/>
          <w:szCs w:val="22"/>
        </w:rPr>
      </w:pPr>
      <w:r w:rsidRPr="00E23526">
        <w:rPr>
          <w:rFonts w:ascii="Verdana" w:hAnsi="Verdana"/>
          <w:sz w:val="22"/>
          <w:szCs w:val="22"/>
        </w:rPr>
        <w:t xml:space="preserve">Analizirajući koncepte upravnog spora u Republici Hrvatskoj u navedenom proteklom  razdoblju, može se govoriti o dva koncepta, od kojih je prvi trajao u kontinuitetu 34 i pol godine i zamijenjen je novim, modernijim, europskim konceptom upravnog spora (koncipiranom u razdoblju u kojemu je Republika Hrvatska trebala ispuniti uvjete za članstvo u Europskoj uniji) koji se primjenjuje posljednjih pet i pol godina. </w:t>
      </w:r>
    </w:p>
    <w:p w:rsidR="00E23526" w:rsidRPr="00E23526" w:rsidRDefault="00E23526" w:rsidP="00D55604">
      <w:pPr>
        <w:spacing w:after="120" w:line="320" w:lineRule="exact"/>
        <w:jc w:val="both"/>
        <w:rPr>
          <w:rFonts w:ascii="Verdana" w:hAnsi="Verdana"/>
          <w:sz w:val="22"/>
          <w:szCs w:val="22"/>
        </w:rPr>
      </w:pPr>
      <w:r w:rsidRPr="00E23526">
        <w:rPr>
          <w:rFonts w:ascii="Verdana" w:hAnsi="Verdana"/>
          <w:sz w:val="22"/>
          <w:szCs w:val="22"/>
        </w:rPr>
        <w:t xml:space="preserve">Taj novi koncept, pored uvođenja novog sustava upravnog sudovanja organiziranog u dva stupnja (četiri prvostupanjska upravna suda i Visoki upravni sud Republike Hrvatske), radikalno je reformirao upravni spor. Tako je omogućeno rješavanje sporova po sucu pojedincu, proširen predmet upravnog spora otvaranjem mogućnosti ocjene zakonitosti općih akata jedinica lokalne i područne (regionalne) samouprave, pravnih osoba koje imaju javne ovlasti i pravnih osoba koje obavljaju javnu službu, prvostupanjski upravni sudovi su obvezani utvrđivati činjenično stanje i u pravilu provoditi usmenu raspravu, uvedeni su novi pravni instituti (npr. privremena mjera, ogledni spor, mogućnost sklapanja sudskih nagodbi) a upravni su sudovi obvezani donositi, u pravilu, reformacijske, a ne </w:t>
      </w:r>
      <w:proofErr w:type="spellStart"/>
      <w:r w:rsidRPr="00E23526">
        <w:rPr>
          <w:rFonts w:ascii="Verdana" w:hAnsi="Verdana"/>
          <w:sz w:val="22"/>
          <w:szCs w:val="22"/>
        </w:rPr>
        <w:t>kasatorne</w:t>
      </w:r>
      <w:proofErr w:type="spellEnd"/>
      <w:r w:rsidRPr="00E23526">
        <w:rPr>
          <w:rFonts w:ascii="Verdana" w:hAnsi="Verdana"/>
          <w:sz w:val="22"/>
          <w:szCs w:val="22"/>
        </w:rPr>
        <w:t xml:space="preserve"> presude.</w:t>
      </w:r>
    </w:p>
    <w:p w:rsidR="00E23526" w:rsidRPr="00E23526" w:rsidRDefault="00E23526" w:rsidP="00D55604">
      <w:pPr>
        <w:spacing w:after="120" w:line="320" w:lineRule="exact"/>
        <w:jc w:val="both"/>
        <w:rPr>
          <w:rFonts w:ascii="Verdana" w:hAnsi="Verdana"/>
          <w:sz w:val="22"/>
          <w:szCs w:val="22"/>
        </w:rPr>
      </w:pPr>
      <w:r w:rsidRPr="00E23526">
        <w:rPr>
          <w:rFonts w:ascii="Verdana" w:hAnsi="Verdana"/>
          <w:sz w:val="22"/>
          <w:szCs w:val="22"/>
        </w:rPr>
        <w:t>Novi koncept upravnog spora, kao neupitno moderniji, pruža višu razinu zaštite subjektivnih prava, ali se u praksi ubrzo pokazalo kako su neki pravni instituti prilično problematični, što je nužno zahtijevalo njihove izmjene moguće jedino zakonodavnom intervencijom. Tako je primjerice zbog rigidnih zakonskih uvjeta za podnošenje žalbe protiv odluka prvostupanjskih upravnih sudova, bila znatno sužena mogućnost podnošenja žalbe, a samim time i sužena mogućnost kontrole zakonitosti odluka prvostupanjskih sudova.</w:t>
      </w:r>
    </w:p>
    <w:p w:rsidR="00A557AF" w:rsidRDefault="00E23526" w:rsidP="00D55604">
      <w:pPr>
        <w:spacing w:after="120" w:line="320" w:lineRule="exact"/>
        <w:jc w:val="both"/>
        <w:rPr>
          <w:rFonts w:ascii="Verdana" w:hAnsi="Verdana"/>
          <w:sz w:val="22"/>
          <w:szCs w:val="22"/>
        </w:rPr>
        <w:sectPr w:rsidR="00A557AF" w:rsidSect="00D55604">
          <w:headerReference w:type="default" r:id="rId6"/>
          <w:footerReference w:type="default" r:id="rId7"/>
          <w:pgSz w:w="11906" w:h="16838" w:code="9"/>
          <w:pgMar w:top="1276" w:right="1418" w:bottom="1276" w:left="1418" w:header="567" w:footer="397" w:gutter="0"/>
          <w:cols w:space="708"/>
          <w:docGrid w:linePitch="326"/>
        </w:sectPr>
      </w:pPr>
      <w:r w:rsidRPr="00E23526">
        <w:rPr>
          <w:rFonts w:ascii="Verdana" w:hAnsi="Verdana"/>
          <w:sz w:val="22"/>
          <w:szCs w:val="22"/>
        </w:rPr>
        <w:t>Propisani zakonski uvjeti, koji su mogućnost podnošenja žalbe vezali za donošenje reformacijskih odluka prvostupanjskih upravnih sudova, imali su za posljedicu ograničenu mogućnost podnošenja žalbe kao redovnog pravnog lijeka.  Zbog toga se žalba  stvarno mogla koristiti samo u ograničenom opsegu u razdoblju od početka primjene novog zakona pa do kraja 2014., kada su izmjenama i dopunama Zakona o upravnim sporovima liberalizirani uvjeti za žalbu, Nakon toga taj je pravni lijek postao dostupnije i djelotvornije pravno sredstvo, što je ubrz</w:t>
      </w:r>
      <w:r w:rsidR="00D55604">
        <w:rPr>
          <w:rFonts w:ascii="Verdana" w:hAnsi="Verdana"/>
          <w:sz w:val="22"/>
          <w:szCs w:val="22"/>
        </w:rPr>
        <w:t>o potvrđeno i u sudskoj praksi.</w:t>
      </w:r>
    </w:p>
    <w:p w:rsidR="00E23526" w:rsidRPr="00E23526" w:rsidRDefault="00E23526" w:rsidP="00D55604">
      <w:pPr>
        <w:spacing w:after="120" w:line="320" w:lineRule="exact"/>
        <w:jc w:val="both"/>
        <w:rPr>
          <w:rFonts w:ascii="Verdana" w:hAnsi="Verdana"/>
          <w:sz w:val="22"/>
          <w:szCs w:val="22"/>
        </w:rPr>
      </w:pPr>
      <w:r w:rsidRPr="00E23526">
        <w:rPr>
          <w:rFonts w:ascii="Verdana" w:hAnsi="Verdana"/>
          <w:sz w:val="22"/>
          <w:szCs w:val="22"/>
        </w:rPr>
        <w:lastRenderedPageBreak/>
        <w:t xml:space="preserve">Ograničenja kao što je to bio slučaj u pogledu mogućnosti podnošenja žalbe, obično dovode do kolateralne štete, koja se u konkretnom slučaju ogledala u otežanoj mogućnosti ujednačavanja </w:t>
      </w:r>
      <w:proofErr w:type="spellStart"/>
      <w:r w:rsidRPr="00E23526">
        <w:rPr>
          <w:rFonts w:ascii="Verdana" w:hAnsi="Verdana"/>
          <w:sz w:val="22"/>
          <w:szCs w:val="22"/>
        </w:rPr>
        <w:t>upravnosudske</w:t>
      </w:r>
      <w:proofErr w:type="spellEnd"/>
      <w:r w:rsidRPr="00E23526">
        <w:rPr>
          <w:rFonts w:ascii="Verdana" w:hAnsi="Verdana"/>
          <w:sz w:val="22"/>
          <w:szCs w:val="22"/>
        </w:rPr>
        <w:t xml:space="preserve"> prakse u navedenom razdoblju. </w:t>
      </w:r>
    </w:p>
    <w:p w:rsidR="00E23526" w:rsidRPr="00E23526" w:rsidRDefault="00E23526" w:rsidP="00D55604">
      <w:pPr>
        <w:spacing w:after="120" w:line="320" w:lineRule="exact"/>
        <w:jc w:val="both"/>
        <w:rPr>
          <w:rFonts w:ascii="Verdana" w:hAnsi="Verdana"/>
          <w:sz w:val="22"/>
          <w:szCs w:val="22"/>
        </w:rPr>
      </w:pPr>
      <w:proofErr w:type="spellStart"/>
      <w:r w:rsidRPr="00E23526">
        <w:rPr>
          <w:rFonts w:ascii="Verdana" w:hAnsi="Verdana"/>
          <w:sz w:val="22"/>
          <w:szCs w:val="22"/>
        </w:rPr>
        <w:t>Postreformsko</w:t>
      </w:r>
      <w:proofErr w:type="spellEnd"/>
      <w:r w:rsidRPr="00E23526">
        <w:rPr>
          <w:rFonts w:ascii="Verdana" w:hAnsi="Verdana"/>
          <w:sz w:val="22"/>
          <w:szCs w:val="22"/>
        </w:rPr>
        <w:t xml:space="preserve"> razdoblje obilježeno je stalnim nastojanjima da se pojedine vrste upravnih sporova izuzmu iz </w:t>
      </w:r>
      <w:proofErr w:type="spellStart"/>
      <w:r w:rsidRPr="00E23526">
        <w:rPr>
          <w:rFonts w:ascii="Verdana" w:hAnsi="Verdana"/>
          <w:sz w:val="22"/>
          <w:szCs w:val="22"/>
        </w:rPr>
        <w:t>dvostupanjske</w:t>
      </w:r>
      <w:proofErr w:type="spellEnd"/>
      <w:r w:rsidRPr="00E23526">
        <w:rPr>
          <w:rFonts w:ascii="Verdana" w:hAnsi="Verdana"/>
          <w:sz w:val="22"/>
          <w:szCs w:val="22"/>
        </w:rPr>
        <w:t xml:space="preserve"> </w:t>
      </w:r>
      <w:proofErr w:type="spellStart"/>
      <w:r w:rsidRPr="00E23526">
        <w:rPr>
          <w:rFonts w:ascii="Verdana" w:hAnsi="Verdana"/>
          <w:sz w:val="22"/>
          <w:szCs w:val="22"/>
        </w:rPr>
        <w:t>upravnosudske</w:t>
      </w:r>
      <w:proofErr w:type="spellEnd"/>
      <w:r w:rsidRPr="00E23526">
        <w:rPr>
          <w:rFonts w:ascii="Verdana" w:hAnsi="Verdana"/>
          <w:sz w:val="22"/>
          <w:szCs w:val="22"/>
        </w:rPr>
        <w:t xml:space="preserve"> nadležnosti i da u upravnom sporu odlučuje Visoki upravni sud Republike Hrvatske, kao sud prvog i posljednjeg stupnja, a to narušava temeljni reformski koncept </w:t>
      </w:r>
      <w:proofErr w:type="spellStart"/>
      <w:r w:rsidRPr="00E23526">
        <w:rPr>
          <w:rFonts w:ascii="Verdana" w:hAnsi="Verdana"/>
          <w:sz w:val="22"/>
          <w:szCs w:val="22"/>
        </w:rPr>
        <w:t>dvostupanjske</w:t>
      </w:r>
      <w:proofErr w:type="spellEnd"/>
      <w:r w:rsidRPr="00E23526">
        <w:rPr>
          <w:rFonts w:ascii="Verdana" w:hAnsi="Verdana"/>
          <w:sz w:val="22"/>
          <w:szCs w:val="22"/>
        </w:rPr>
        <w:t xml:space="preserve"> sudske zaštite u upravnom sporu. Važno je napomenuti da broj predmeta u kojima po posebnim zakonima u upravnom sporu odlučuje isključivo Visoki upravni sud Republike Hrvatske nije tako značajan, jer su takvi predmeti u ukupnom broju upravnih sporova zastupljeni s manje od 1%.</w:t>
      </w:r>
    </w:p>
    <w:p w:rsidR="00E23526" w:rsidRPr="00E23526" w:rsidRDefault="00E23526" w:rsidP="00D55604">
      <w:pPr>
        <w:spacing w:after="120" w:line="320" w:lineRule="exact"/>
        <w:jc w:val="both"/>
        <w:rPr>
          <w:rFonts w:ascii="Verdana" w:hAnsi="Verdana"/>
          <w:sz w:val="22"/>
          <w:szCs w:val="22"/>
        </w:rPr>
      </w:pPr>
      <w:r w:rsidRPr="00E23526">
        <w:rPr>
          <w:rFonts w:ascii="Verdana" w:hAnsi="Verdana"/>
          <w:sz w:val="22"/>
          <w:szCs w:val="22"/>
        </w:rPr>
        <w:t>Pored svečanog obilježavanja ove obljetnice, očekuje se da bi ovaj okrugli stol, imajući na umu iznimnu važnost pravnih stvari o kojima se odlučuje pred upravnim sudovima (zaštita okoliša, porezi i carine, tržišno natjecanje, javna nabava, prostorno uređenje i gradnja, elektroničke komunikacije, međunarodna zaštita stranaca, pravo na slobodan pristup informacijama, zaštita osobnih podataka, pitanja socijalne skrbi, radna, mirovinska i zdravstvena prava itd.) trebao dati odgovore na pitanja:</w:t>
      </w:r>
    </w:p>
    <w:p w:rsidR="00E23526" w:rsidRPr="00E23526" w:rsidRDefault="00E23526" w:rsidP="00D55604">
      <w:pPr>
        <w:spacing w:line="320" w:lineRule="exact"/>
        <w:jc w:val="both"/>
        <w:rPr>
          <w:rFonts w:ascii="Verdana" w:hAnsi="Verdana"/>
          <w:sz w:val="22"/>
          <w:szCs w:val="22"/>
        </w:rPr>
      </w:pPr>
      <w:r w:rsidRPr="00E23526">
        <w:rPr>
          <w:rFonts w:ascii="Verdana" w:hAnsi="Verdana"/>
          <w:sz w:val="22"/>
          <w:szCs w:val="22"/>
        </w:rPr>
        <w:t>Je li sadašnji novi „europski“ koncept upravnog spora u potpunosti ispunio očekivanja?</w:t>
      </w:r>
    </w:p>
    <w:p w:rsidR="00E23526" w:rsidRPr="00E23526" w:rsidRDefault="00E23526" w:rsidP="00D55604">
      <w:pPr>
        <w:spacing w:line="320" w:lineRule="exact"/>
        <w:jc w:val="both"/>
        <w:rPr>
          <w:rFonts w:ascii="Verdana" w:hAnsi="Verdana"/>
          <w:sz w:val="22"/>
          <w:szCs w:val="22"/>
        </w:rPr>
      </w:pPr>
      <w:r w:rsidRPr="00E23526">
        <w:rPr>
          <w:rFonts w:ascii="Verdana" w:hAnsi="Verdana"/>
          <w:sz w:val="22"/>
          <w:szCs w:val="22"/>
        </w:rPr>
        <w:t>Je li kod nas suđenje u upravnom sporu dovoljno učinkovito u kome se odluke donose u razumnom roku?</w:t>
      </w:r>
    </w:p>
    <w:p w:rsidR="00E23526" w:rsidRPr="00E23526" w:rsidRDefault="00E23526" w:rsidP="00D55604">
      <w:pPr>
        <w:spacing w:after="120" w:line="320" w:lineRule="exact"/>
        <w:jc w:val="both"/>
        <w:rPr>
          <w:rFonts w:ascii="Verdana" w:hAnsi="Verdana"/>
          <w:sz w:val="22"/>
          <w:szCs w:val="22"/>
        </w:rPr>
      </w:pPr>
      <w:r w:rsidRPr="00E23526">
        <w:rPr>
          <w:rFonts w:ascii="Verdana" w:hAnsi="Verdana"/>
          <w:sz w:val="22"/>
          <w:szCs w:val="22"/>
        </w:rPr>
        <w:t>Pružaju li pravni instituti i procesni mehanizmi novog upravnog spora dovoljno jamstvo za zaštitu subjektivnih prava, odnosno ustavnih i konvencijskih prava u po</w:t>
      </w:r>
      <w:r w:rsidR="00D55604">
        <w:rPr>
          <w:rFonts w:ascii="Verdana" w:hAnsi="Verdana"/>
          <w:sz w:val="22"/>
          <w:szCs w:val="22"/>
        </w:rPr>
        <w:t>stupcima pred upravnim sudovima</w:t>
      </w:r>
      <w:r w:rsidRPr="00E23526">
        <w:rPr>
          <w:rFonts w:ascii="Verdana" w:hAnsi="Verdana"/>
          <w:sz w:val="22"/>
          <w:szCs w:val="22"/>
        </w:rPr>
        <w:t>?</w:t>
      </w:r>
    </w:p>
    <w:p w:rsidR="00764D03" w:rsidRDefault="00764D03" w:rsidP="00764D03">
      <w:pPr>
        <w:spacing w:after="120"/>
        <w:rPr>
          <w:rFonts w:ascii="Verdana" w:hAnsi="Verdana"/>
          <w:sz w:val="22"/>
          <w:szCs w:val="22"/>
        </w:rPr>
      </w:pPr>
      <w:r>
        <w:rPr>
          <w:rFonts w:ascii="Verdana" w:hAnsi="Verdana"/>
          <w:b/>
          <w:sz w:val="22"/>
          <w:szCs w:val="22"/>
        </w:rPr>
        <w:t>Za više informacija</w:t>
      </w:r>
      <w:r>
        <w:rPr>
          <w:rFonts w:ascii="Verdana" w:hAnsi="Verdana"/>
          <w:sz w:val="22"/>
          <w:szCs w:val="22"/>
        </w:rPr>
        <w:t xml:space="preserve">: akademik Jakša Barbić, </w:t>
      </w:r>
      <w:hyperlink r:id="rId8" w:history="1">
        <w:r>
          <w:rPr>
            <w:rStyle w:val="Hyperlink"/>
            <w:rFonts w:ascii="Verdana" w:hAnsi="Verdana"/>
            <w:sz w:val="22"/>
            <w:szCs w:val="22"/>
          </w:rPr>
          <w:t>jaksa.barbic@zg.t-com.hr</w:t>
        </w:r>
      </w:hyperlink>
      <w:r>
        <w:rPr>
          <w:rFonts w:ascii="Verdana" w:hAnsi="Verdana"/>
          <w:sz w:val="22"/>
          <w:szCs w:val="22"/>
        </w:rPr>
        <w:t>.</w:t>
      </w:r>
    </w:p>
    <w:p w:rsidR="00764D03" w:rsidRDefault="00764D03" w:rsidP="00764D03">
      <w:pPr>
        <w:spacing w:after="120"/>
        <w:rPr>
          <w:rFonts w:ascii="Verdana" w:hAnsi="Verdana"/>
          <w:sz w:val="22"/>
          <w:szCs w:val="22"/>
        </w:rPr>
      </w:pPr>
      <w:r>
        <w:rPr>
          <w:rFonts w:ascii="Verdana" w:hAnsi="Verdana"/>
          <w:sz w:val="22"/>
          <w:szCs w:val="22"/>
        </w:rPr>
        <w:t>Srdačno Vas pozdravljamo, zahvaljujemo na suradnji i očekujemo Vaš dolazak.</w:t>
      </w:r>
    </w:p>
    <w:p w:rsidR="00764D03" w:rsidRDefault="00764D03" w:rsidP="00764D03">
      <w:pPr>
        <w:spacing w:after="120"/>
        <w:rPr>
          <w:rFonts w:ascii="Verdana" w:hAnsi="Verdana"/>
          <w:sz w:val="22"/>
          <w:szCs w:val="22"/>
        </w:rPr>
      </w:pPr>
    </w:p>
    <w:p w:rsidR="00764D03" w:rsidRDefault="00764D03" w:rsidP="00764D03">
      <w:pPr>
        <w:spacing w:after="120"/>
        <w:ind w:left="4248" w:firstLine="708"/>
        <w:jc w:val="right"/>
        <w:rPr>
          <w:rFonts w:ascii="Verdana" w:hAnsi="Verdana"/>
          <w:sz w:val="22"/>
          <w:szCs w:val="22"/>
        </w:rPr>
      </w:pPr>
      <w:r>
        <w:rPr>
          <w:rFonts w:ascii="Verdana" w:hAnsi="Verdana"/>
          <w:sz w:val="22"/>
          <w:szCs w:val="22"/>
        </w:rPr>
        <w:t>Gordana Poletto Ružić</w:t>
      </w:r>
    </w:p>
    <w:p w:rsidR="00764D03" w:rsidRDefault="00764D03" w:rsidP="00764D03">
      <w:pPr>
        <w:spacing w:after="120"/>
        <w:jc w:val="right"/>
        <w:rPr>
          <w:rFonts w:ascii="Verdana" w:hAnsi="Verdana"/>
          <w:sz w:val="22"/>
          <w:szCs w:val="22"/>
        </w:rPr>
      </w:pPr>
      <w:r>
        <w:rPr>
          <w:rFonts w:ascii="Verdana" w:hAnsi="Verdana"/>
          <w:sz w:val="22"/>
          <w:szCs w:val="22"/>
        </w:rPr>
        <w:t>Ured za odnose s javnošću i medije HAZU</w:t>
      </w:r>
    </w:p>
    <w:p w:rsidR="00764D03" w:rsidRPr="00764D03" w:rsidRDefault="00764D03" w:rsidP="00764D03">
      <w:pPr>
        <w:spacing w:after="120" w:line="320" w:lineRule="exact"/>
        <w:rPr>
          <w:rFonts w:ascii="Verdana" w:hAnsi="Verdana"/>
          <w:sz w:val="22"/>
          <w:szCs w:val="22"/>
          <w:lang w:val="it-IT"/>
        </w:rPr>
      </w:pPr>
    </w:p>
    <w:sectPr w:rsidR="00764D03" w:rsidRPr="00764D03" w:rsidSect="00A557AF">
      <w:headerReference w:type="default" r:id="rId9"/>
      <w:footerReference w:type="default" r:id="rId10"/>
      <w:type w:val="continuous"/>
      <w:pgSz w:w="11906" w:h="16838" w:code="9"/>
      <w:pgMar w:top="1276" w:right="1418" w:bottom="1276" w:left="1418" w:header="567" w:footer="397"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82C" w:rsidRDefault="00DE082C">
      <w:r>
        <w:separator/>
      </w:r>
    </w:p>
  </w:endnote>
  <w:endnote w:type="continuationSeparator" w:id="0">
    <w:p w:rsidR="00DE082C" w:rsidRDefault="00DE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72" w:rsidRDefault="00DF14B6">
    <w:pPr>
      <w:pStyle w:val="Footer"/>
      <w:jc w:val="center"/>
      <w:rPr>
        <w:rFonts w:ascii="Calisto MT" w:hAnsi="Calisto MT" w:cs="Tahoma"/>
        <w:color w:val="323232"/>
        <w:spacing w:val="10"/>
        <w:sz w:val="18"/>
        <w:szCs w:val="18"/>
      </w:rPr>
    </w:pPr>
    <w:r>
      <w:rPr>
        <w:rFonts w:ascii="Calisto MT" w:hAnsi="Calisto MT" w:cs="Tahoma"/>
        <w:color w:val="323232"/>
        <w:spacing w:val="10"/>
        <w:sz w:val="18"/>
        <w:szCs w:val="18"/>
      </w:rPr>
      <w:t>Trg Nikole Šubi</w:t>
    </w:r>
    <w:r>
      <w:rPr>
        <w:rFonts w:ascii="Cambria" w:hAnsi="Cambria" w:cs="Tahoma"/>
        <w:color w:val="323232"/>
        <w:spacing w:val="10"/>
        <w:sz w:val="18"/>
        <w:szCs w:val="18"/>
      </w:rPr>
      <w:t>ć</w:t>
    </w:r>
    <w:r>
      <w:rPr>
        <w:rFonts w:ascii="Calisto MT" w:hAnsi="Calisto MT" w:cs="Tahoma"/>
        <w:color w:val="323232"/>
        <w:spacing w:val="10"/>
        <w:sz w:val="18"/>
        <w:szCs w:val="18"/>
      </w:rPr>
      <w:t>a Zrinskog 11, HR-10000 Zagreb - www.hazu.hr - telefon: +385 1 4895 111 -</w:t>
    </w:r>
  </w:p>
  <w:p w:rsidR="00CE1072" w:rsidRDefault="00DF14B6">
    <w:pPr>
      <w:pStyle w:val="Footer"/>
      <w:jc w:val="center"/>
      <w:rPr>
        <w:rFonts w:ascii="Calisto MT" w:hAnsi="Calisto MT" w:cs="Tahoma"/>
        <w:color w:val="323232"/>
        <w:spacing w:val="10"/>
        <w:sz w:val="18"/>
        <w:szCs w:val="18"/>
      </w:rPr>
    </w:pPr>
    <w:r>
      <w:rPr>
        <w:rFonts w:ascii="Calisto MT" w:hAnsi="Calisto MT" w:cs="Tahoma"/>
        <w:color w:val="323232"/>
        <w:spacing w:val="10"/>
        <w:sz w:val="18"/>
        <w:szCs w:val="18"/>
      </w:rPr>
      <w:t>telefaks: +385 1 4819 979 - e-adresa: kabpred@hazu.hr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7AF" w:rsidRPr="00A557AF" w:rsidRDefault="00A557AF" w:rsidP="00A557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82C" w:rsidRDefault="00DE082C">
      <w:r>
        <w:separator/>
      </w:r>
    </w:p>
  </w:footnote>
  <w:footnote w:type="continuationSeparator" w:id="0">
    <w:p w:rsidR="00DE082C" w:rsidRDefault="00DE08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72" w:rsidRDefault="00FB2495">
    <w:pPr>
      <w:pStyle w:val="Header"/>
      <w:jc w:val="center"/>
      <w:rPr>
        <w:noProof/>
        <w:sz w:val="20"/>
      </w:rPr>
    </w:pPr>
    <w:r>
      <w:rPr>
        <w:noProof/>
      </w:rPr>
      <w:drawing>
        <wp:anchor distT="0" distB="0" distL="114300" distR="114300" simplePos="0" relativeHeight="251657728" behindDoc="1" locked="0" layoutInCell="1" allowOverlap="1">
          <wp:simplePos x="0" y="0"/>
          <wp:positionH relativeFrom="column">
            <wp:posOffset>2389505</wp:posOffset>
          </wp:positionH>
          <wp:positionV relativeFrom="paragraph">
            <wp:posOffset>62230</wp:posOffset>
          </wp:positionV>
          <wp:extent cx="866775" cy="914400"/>
          <wp:effectExtent l="0" t="0" r="0" b="0"/>
          <wp:wrapTight wrapText="bothSides">
            <wp:wrapPolygon edited="0">
              <wp:start x="0" y="0"/>
              <wp:lineTo x="0" y="21150"/>
              <wp:lineTo x="21363" y="21150"/>
              <wp:lineTo x="21363" y="0"/>
              <wp:lineTo x="0" y="0"/>
            </wp:wrapPolygon>
          </wp:wrapTight>
          <wp:docPr id="4" name="Picture 4" descr="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pic:cNvPicPr>
                    <a:picLocks noChangeAspect="1" noChangeArrowheads="1"/>
                  </pic:cNvPicPr>
                </pic:nvPicPr>
                <pic:blipFill>
                  <a:blip r:embed="rId1">
                    <a:lum bright="-12000" contrast="42000"/>
                    <a:extLst>
                      <a:ext uri="{28A0092B-C50C-407E-A947-70E740481C1C}">
                        <a14:useLocalDpi xmlns:a14="http://schemas.microsoft.com/office/drawing/2010/main" val="0"/>
                      </a:ext>
                    </a:extLst>
                  </a:blip>
                  <a:srcRect l="43239" r="41557"/>
                  <a:stretch>
                    <a:fillRect/>
                  </a:stretch>
                </pic:blipFill>
                <pic:spPr bwMode="auto">
                  <a:xfrm>
                    <a:off x="0" y="0"/>
                    <a:ext cx="8667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1072" w:rsidRDefault="00CE1072">
    <w:pPr>
      <w:pStyle w:val="Header"/>
      <w:jc w:val="center"/>
    </w:pPr>
  </w:p>
  <w:p w:rsidR="00CE1072" w:rsidRDefault="00DF14B6">
    <w:pPr>
      <w:pStyle w:val="Header"/>
      <w:tabs>
        <w:tab w:val="clear" w:pos="4153"/>
      </w:tabs>
      <w:ind w:left="709"/>
      <w:rPr>
        <w:color w:val="323232"/>
      </w:rPr>
    </w:pPr>
    <w:r>
      <w:rPr>
        <w:color w:val="323232"/>
      </w:rPr>
      <w:t>HRVATSKA AKADEMIJA        CROATIAN ACADEMY</w:t>
    </w:r>
  </w:p>
  <w:p w:rsidR="00CE1072" w:rsidRDefault="00DF14B6">
    <w:pPr>
      <w:pStyle w:val="Header"/>
      <w:ind w:left="567"/>
      <w:rPr>
        <w:color w:val="323232"/>
      </w:rPr>
    </w:pPr>
    <w:r>
      <w:rPr>
        <w:color w:val="323232"/>
      </w:rPr>
      <w:t>ZNANOSTI I UMJETNOSTI        OF SCIENCES AND ARTS</w:t>
    </w:r>
  </w:p>
  <w:p w:rsidR="00CE1072" w:rsidRDefault="00CE1072">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7AF" w:rsidRDefault="00A557A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495"/>
    <w:rsid w:val="00211994"/>
    <w:rsid w:val="004C191D"/>
    <w:rsid w:val="006238D8"/>
    <w:rsid w:val="006360D6"/>
    <w:rsid w:val="00764D03"/>
    <w:rsid w:val="00A3475C"/>
    <w:rsid w:val="00A557AF"/>
    <w:rsid w:val="00CE1072"/>
    <w:rsid w:val="00D55604"/>
    <w:rsid w:val="00DE082C"/>
    <w:rsid w:val="00DF14B6"/>
    <w:rsid w:val="00E23526"/>
    <w:rsid w:val="00FB24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F9F84"/>
  <w15:chartTrackingRefBased/>
  <w15:docId w15:val="{FB1ADA75-E2AA-4D0A-8D82-2B14F505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qFormat/>
    <w:pPr>
      <w:keepNext/>
      <w:overflowPunct/>
      <w:autoSpaceDE/>
      <w:autoSpaceDN/>
      <w:adjustRightInd/>
      <w:jc w:val="center"/>
      <w:textAlignment w:val="auto"/>
      <w:outlineLvl w:val="0"/>
    </w:pPr>
    <w:rPr>
      <w:b/>
      <w:i/>
      <w:sz w:val="28"/>
      <w:lang w:eastAsia="en-US"/>
    </w:rPr>
  </w:style>
  <w:style w:type="paragraph" w:styleId="Heading4">
    <w:name w:val="heading 4"/>
    <w:basedOn w:val="Normal"/>
    <w:next w:val="Normal"/>
    <w:qFormat/>
    <w:pPr>
      <w:keepNext/>
      <w:tabs>
        <w:tab w:val="left" w:pos="6885"/>
      </w:tabs>
      <w:jc w:val="center"/>
      <w:outlineLvl w:val="3"/>
    </w:pPr>
    <w:rPr>
      <w:i/>
      <w:iCs/>
    </w:rPr>
  </w:style>
  <w:style w:type="paragraph" w:styleId="Heading5">
    <w:name w:val="heading 5"/>
    <w:basedOn w:val="Normal"/>
    <w:next w:val="Normal"/>
    <w:qFormat/>
    <w:pPr>
      <w:keepNext/>
      <w:jc w:val="center"/>
      <w:outlineLvl w:val="4"/>
    </w:pPr>
    <w:rPr>
      <w:b/>
      <w:bCs/>
      <w:i/>
      <w:iCs/>
      <w:lang w:val="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b/>
      <w:i/>
      <w:sz w:val="28"/>
      <w:lang w:eastAsia="en-US"/>
    </w:rPr>
  </w:style>
  <w:style w:type="character" w:customStyle="1" w:styleId="Heading4Char">
    <w:name w:val="Heading 4 Char"/>
    <w:basedOn w:val="DefaultParagraphFont"/>
    <w:rPr>
      <w:rFonts w:ascii="Times New Roman" w:eastAsia="Times New Roman" w:hAnsi="Times New Roman"/>
      <w:i/>
      <w:iCs/>
      <w:sz w:val="24"/>
    </w:rPr>
  </w:style>
  <w:style w:type="character" w:customStyle="1" w:styleId="Heading5Char">
    <w:name w:val="Heading 5 Char"/>
    <w:basedOn w:val="DefaultParagraphFont"/>
    <w:rPr>
      <w:rFonts w:ascii="Times New Roman" w:eastAsia="Times New Roman" w:hAnsi="Times New Roman"/>
      <w:b/>
      <w:bCs/>
      <w:i/>
      <w:iCs/>
      <w:sz w:val="24"/>
      <w:lang w:val="it-IT"/>
    </w:rPr>
  </w:style>
  <w:style w:type="paragraph" w:styleId="Header">
    <w:name w:val="header"/>
    <w:basedOn w:val="Normal"/>
    <w:semiHidden/>
    <w:pPr>
      <w:tabs>
        <w:tab w:val="center" w:pos="4153"/>
        <w:tab w:val="right" w:pos="8306"/>
      </w:tabs>
    </w:pPr>
  </w:style>
  <w:style w:type="character" w:customStyle="1" w:styleId="HeaderChar">
    <w:name w:val="Header Char"/>
    <w:basedOn w:val="DefaultParagraphFont"/>
    <w:semiHidden/>
    <w:rPr>
      <w:rFonts w:ascii="Times New Roman" w:eastAsia="Times New Roman" w:hAnsi="Times New Roman"/>
      <w:sz w:val="24"/>
    </w:rPr>
  </w:style>
  <w:style w:type="paragraph" w:styleId="Footer">
    <w:name w:val="footer"/>
    <w:basedOn w:val="Normal"/>
    <w:semiHidden/>
    <w:pPr>
      <w:tabs>
        <w:tab w:val="center" w:pos="4153"/>
        <w:tab w:val="right" w:pos="8306"/>
      </w:tabs>
    </w:pPr>
  </w:style>
  <w:style w:type="character" w:customStyle="1" w:styleId="FooterChar">
    <w:name w:val="Footer Char"/>
    <w:basedOn w:val="DefaultParagraphFont"/>
    <w:semiHidden/>
    <w:rPr>
      <w:rFonts w:ascii="Times New Roman" w:eastAsia="Times New Roman" w:hAnsi="Times New Roman"/>
      <w:sz w:val="24"/>
    </w:rPr>
  </w:style>
  <w:style w:type="paragraph" w:styleId="BalloonText">
    <w:name w:val="Balloon Text"/>
    <w:basedOn w:val="Normal"/>
    <w:link w:val="BalloonTextChar"/>
    <w:uiPriority w:val="99"/>
    <w:semiHidden/>
    <w:unhideWhenUsed/>
    <w:rsid w:val="00FB24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495"/>
    <w:rPr>
      <w:rFonts w:ascii="Segoe UI" w:eastAsia="Times New Roman" w:hAnsi="Segoe UI" w:cs="Segoe UI"/>
      <w:sz w:val="18"/>
      <w:szCs w:val="18"/>
    </w:rPr>
  </w:style>
  <w:style w:type="character" w:styleId="Hyperlink">
    <w:name w:val="Hyperlink"/>
    <w:basedOn w:val="DefaultParagraphFont"/>
    <w:semiHidden/>
    <w:unhideWhenUsed/>
    <w:rsid w:val="00764D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10106">
      <w:bodyDiv w:val="1"/>
      <w:marLeft w:val="0"/>
      <w:marRight w:val="0"/>
      <w:marTop w:val="0"/>
      <w:marBottom w:val="0"/>
      <w:divBdr>
        <w:top w:val="none" w:sz="0" w:space="0" w:color="auto"/>
        <w:left w:val="none" w:sz="0" w:space="0" w:color="auto"/>
        <w:bottom w:val="none" w:sz="0" w:space="0" w:color="auto"/>
        <w:right w:val="none" w:sz="0" w:space="0" w:color="auto"/>
      </w:divBdr>
    </w:div>
    <w:div w:id="1822883872">
      <w:bodyDiv w:val="1"/>
      <w:marLeft w:val="0"/>
      <w:marRight w:val="0"/>
      <w:marTop w:val="0"/>
      <w:marBottom w:val="0"/>
      <w:divBdr>
        <w:top w:val="none" w:sz="0" w:space="0" w:color="auto"/>
        <w:left w:val="none" w:sz="0" w:space="0" w:color="auto"/>
        <w:bottom w:val="none" w:sz="0" w:space="0" w:color="auto"/>
        <w:right w:val="none" w:sz="0" w:space="0" w:color="auto"/>
      </w:divBdr>
    </w:div>
    <w:div w:id="1835611714">
      <w:bodyDiv w:val="1"/>
      <w:marLeft w:val="0"/>
      <w:marRight w:val="0"/>
      <w:marTop w:val="0"/>
      <w:marBottom w:val="0"/>
      <w:divBdr>
        <w:top w:val="none" w:sz="0" w:space="0" w:color="auto"/>
        <w:left w:val="none" w:sz="0" w:space="0" w:color="auto"/>
        <w:bottom w:val="none" w:sz="0" w:space="0" w:color="auto"/>
        <w:right w:val="none" w:sz="0" w:space="0" w:color="auto"/>
      </w:divBdr>
    </w:div>
    <w:div w:id="207539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sa.barbic@zg.t-com.hr"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969</Words>
  <Characters>5528</Characters>
  <Application>Microsoft Office Word</Application>
  <DocSecurity>0</DocSecurity>
  <Lines>46</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Znanstveno vijeće za državnu upravu, pravosuđe i vladavinu prava</vt:lpstr>
      <vt:lpstr>Znanstveno vijeće za državnu upravu, pravosuđe i vladavinu prava</vt:lpstr>
    </vt:vector>
  </TitlesOfParts>
  <Company>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Znanstveno vijeće za državnu upravu, pravosuđe i vladavinu prava</dc:title>
  <dc:subject/>
  <dc:creator>Maja Tovernić</dc:creator>
  <cp:keywords/>
  <dc:description/>
  <cp:lastModifiedBy>Gordana Poletto Ružić</cp:lastModifiedBy>
  <cp:revision>3</cp:revision>
  <cp:lastPrinted>2017-06-19T08:14:00Z</cp:lastPrinted>
  <dcterms:created xsi:type="dcterms:W3CDTF">2017-06-19T08:07:00Z</dcterms:created>
  <dcterms:modified xsi:type="dcterms:W3CDTF">2017-06-19T08:21:00Z</dcterms:modified>
</cp:coreProperties>
</file>