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D8" w:rsidRDefault="00B039D8" w:rsidP="009D5DAD"/>
    <w:p w:rsidR="00EE2CEB" w:rsidRPr="00A5304E" w:rsidRDefault="00EE2CEB" w:rsidP="00EE2CEB">
      <w:pPr>
        <w:rPr>
          <w:rFonts w:ascii="Verdana" w:hAnsi="Verdana"/>
          <w:b/>
          <w:szCs w:val="24"/>
        </w:rPr>
      </w:pPr>
      <w:r w:rsidRPr="00A5304E">
        <w:rPr>
          <w:rFonts w:ascii="Verdana" w:hAnsi="Verdana"/>
          <w:b/>
          <w:szCs w:val="24"/>
        </w:rPr>
        <w:t>POZIV ZA MEDIJE</w:t>
      </w:r>
    </w:p>
    <w:p w:rsidR="00EE2CEB" w:rsidRPr="000A7756" w:rsidRDefault="00EE2CEB" w:rsidP="00EE2CEB">
      <w:pPr>
        <w:rPr>
          <w:rFonts w:ascii="Verdana" w:hAnsi="Verdana"/>
          <w:szCs w:val="24"/>
        </w:rPr>
      </w:pPr>
      <w:r w:rsidRPr="00A5304E">
        <w:rPr>
          <w:rFonts w:ascii="Verdana" w:hAnsi="Verdana"/>
          <w:szCs w:val="24"/>
        </w:rPr>
        <w:tab/>
      </w:r>
    </w:p>
    <w:p w:rsidR="00EE2CEB" w:rsidRPr="000A7756" w:rsidRDefault="00EE2CEB" w:rsidP="00EE2CEB">
      <w:pPr>
        <w:rPr>
          <w:rFonts w:ascii="Verdana" w:hAnsi="Verdana"/>
          <w:szCs w:val="24"/>
        </w:rPr>
      </w:pPr>
    </w:p>
    <w:p w:rsidR="00EE2CEB" w:rsidRPr="00A5304E" w:rsidRDefault="00EE2CEB" w:rsidP="00EE2CEB">
      <w:pPr>
        <w:jc w:val="center"/>
        <w:rPr>
          <w:rFonts w:ascii="Verdana" w:hAnsi="Verdana" w:cs="Calibri"/>
          <w:b/>
          <w:caps/>
          <w:szCs w:val="24"/>
        </w:rPr>
      </w:pPr>
      <w:r w:rsidRPr="00A5304E">
        <w:rPr>
          <w:rFonts w:ascii="Verdana" w:hAnsi="Verdana" w:cs="Calibri"/>
          <w:b/>
          <w:caps/>
          <w:szCs w:val="24"/>
        </w:rPr>
        <w:t>Znanstveno vijeće za državnu upravu,</w:t>
      </w:r>
      <w:r w:rsidRPr="000A7756">
        <w:rPr>
          <w:rFonts w:ascii="Verdana" w:hAnsi="Verdana" w:cs="Calibri"/>
          <w:b/>
          <w:caps/>
          <w:szCs w:val="24"/>
        </w:rPr>
        <w:t xml:space="preserve"> </w:t>
      </w:r>
    </w:p>
    <w:p w:rsidR="00EE2CEB" w:rsidRPr="00A5304E" w:rsidRDefault="00EE2CEB" w:rsidP="00EE2CEB">
      <w:pPr>
        <w:spacing w:after="120"/>
        <w:jc w:val="center"/>
        <w:rPr>
          <w:rFonts w:ascii="Verdana" w:hAnsi="Verdana" w:cs="Calibri"/>
          <w:b/>
          <w:caps/>
          <w:szCs w:val="24"/>
        </w:rPr>
      </w:pPr>
      <w:r w:rsidRPr="00A5304E">
        <w:rPr>
          <w:rFonts w:ascii="Verdana" w:hAnsi="Verdana" w:cs="Calibri"/>
          <w:b/>
          <w:caps/>
          <w:szCs w:val="24"/>
        </w:rPr>
        <w:t>pravosuđe i vladavinu prava</w:t>
      </w:r>
    </w:p>
    <w:p w:rsidR="00EE2CEB" w:rsidRPr="00A5304E" w:rsidRDefault="00EE2CEB" w:rsidP="00EE2CEB">
      <w:pPr>
        <w:spacing w:after="120"/>
        <w:jc w:val="center"/>
        <w:rPr>
          <w:rFonts w:ascii="Verdana" w:hAnsi="Verdana" w:cs="Calibri"/>
          <w:b/>
          <w:caps/>
          <w:szCs w:val="24"/>
        </w:rPr>
      </w:pPr>
      <w:r w:rsidRPr="00A5304E">
        <w:rPr>
          <w:rFonts w:ascii="Verdana" w:hAnsi="Verdana" w:cs="Calibri"/>
          <w:b/>
          <w:caps/>
          <w:szCs w:val="24"/>
        </w:rPr>
        <w:t>HRVATSKE AKADEMIJE ZNANOSTI I UMJETNOSTI</w:t>
      </w:r>
    </w:p>
    <w:p w:rsidR="00EE2CEB" w:rsidRPr="000A7756" w:rsidRDefault="00EE2CEB" w:rsidP="00EE2CEB">
      <w:pPr>
        <w:jc w:val="center"/>
        <w:rPr>
          <w:rFonts w:ascii="Verdana" w:hAnsi="Verdana" w:cs="Calibri"/>
          <w:szCs w:val="24"/>
          <w:lang w:val="it-IT"/>
        </w:rPr>
      </w:pPr>
      <w:proofErr w:type="spellStart"/>
      <w:r w:rsidRPr="00A5304E">
        <w:rPr>
          <w:rFonts w:ascii="Verdana" w:hAnsi="Verdana" w:cs="Calibri"/>
          <w:szCs w:val="24"/>
          <w:lang w:val="it-IT"/>
        </w:rPr>
        <w:t>organizira</w:t>
      </w:r>
      <w:proofErr w:type="spellEnd"/>
      <w:r w:rsidRPr="00A5304E">
        <w:rPr>
          <w:rFonts w:ascii="Verdana" w:hAnsi="Verdana" w:cs="Calibri"/>
          <w:szCs w:val="24"/>
          <w:lang w:val="it-IT"/>
        </w:rPr>
        <w:t xml:space="preserve"> i </w:t>
      </w:r>
      <w:proofErr w:type="spellStart"/>
      <w:r w:rsidRPr="00A5304E">
        <w:rPr>
          <w:rFonts w:ascii="Verdana" w:hAnsi="Verdana" w:cs="Calibri"/>
          <w:szCs w:val="24"/>
          <w:lang w:val="it-IT"/>
        </w:rPr>
        <w:t>poziva</w:t>
      </w:r>
      <w:proofErr w:type="spellEnd"/>
      <w:r w:rsidRPr="00A5304E">
        <w:rPr>
          <w:rFonts w:ascii="Verdana" w:hAnsi="Verdana" w:cs="Calibri"/>
          <w:szCs w:val="24"/>
          <w:lang w:val="it-IT"/>
        </w:rPr>
        <w:t xml:space="preserve"> Vas na </w:t>
      </w:r>
    </w:p>
    <w:p w:rsidR="00EE2CEB" w:rsidRPr="00A5304E" w:rsidRDefault="00EE2CEB" w:rsidP="00EE2CEB">
      <w:pPr>
        <w:jc w:val="center"/>
        <w:rPr>
          <w:rFonts w:ascii="Verdana" w:hAnsi="Verdana" w:cs="Calibri"/>
          <w:szCs w:val="24"/>
          <w:lang w:val="it-IT"/>
        </w:rPr>
      </w:pPr>
    </w:p>
    <w:p w:rsidR="00EE2CEB" w:rsidRPr="000A7756" w:rsidRDefault="00EE2CEB" w:rsidP="00EE2CEB">
      <w:pPr>
        <w:spacing w:after="120"/>
        <w:jc w:val="center"/>
        <w:rPr>
          <w:rFonts w:ascii="Verdana" w:hAnsi="Verdana" w:cs="Calibri"/>
          <w:b/>
          <w:szCs w:val="24"/>
        </w:rPr>
      </w:pPr>
      <w:r w:rsidRPr="000A7756">
        <w:rPr>
          <w:rFonts w:ascii="Verdana" w:hAnsi="Verdana" w:cs="Calibri"/>
          <w:b/>
          <w:szCs w:val="24"/>
        </w:rPr>
        <w:t>OKRUGLI STOL</w:t>
      </w:r>
    </w:p>
    <w:p w:rsidR="00030F39" w:rsidRPr="00030F39" w:rsidRDefault="00030F39" w:rsidP="00030F39">
      <w:pPr>
        <w:jc w:val="center"/>
        <w:rPr>
          <w:rFonts w:ascii="Verdana" w:hAnsi="Verdana"/>
          <w:b/>
          <w:bCs/>
          <w:szCs w:val="24"/>
        </w:rPr>
      </w:pPr>
      <w:r w:rsidRPr="00030F39">
        <w:rPr>
          <w:rFonts w:ascii="Verdana" w:hAnsi="Verdana"/>
          <w:b/>
          <w:bCs/>
          <w:szCs w:val="24"/>
        </w:rPr>
        <w:t>ZAŠTITA INVESTICIJA U EUROPSKOJ UNIJI</w:t>
      </w:r>
    </w:p>
    <w:p w:rsidR="00030F39" w:rsidRDefault="00030F39" w:rsidP="00030F39">
      <w:pPr>
        <w:jc w:val="center"/>
        <w:rPr>
          <w:b/>
          <w:bCs/>
          <w:szCs w:val="24"/>
        </w:rPr>
      </w:pPr>
    </w:p>
    <w:p w:rsidR="00EE2CEB" w:rsidRPr="000A7756" w:rsidRDefault="00EE2CEB" w:rsidP="00EE2CEB">
      <w:pPr>
        <w:spacing w:after="120"/>
        <w:jc w:val="center"/>
        <w:rPr>
          <w:rFonts w:ascii="Verdana" w:hAnsi="Verdana" w:cs="Calibri"/>
          <w:szCs w:val="24"/>
        </w:rPr>
      </w:pPr>
      <w:r w:rsidRPr="000A7756">
        <w:rPr>
          <w:rFonts w:ascii="Verdana" w:hAnsi="Verdana" w:cs="Calibri"/>
          <w:szCs w:val="24"/>
        </w:rPr>
        <w:t>koji će se održati kao videokonferencija</w:t>
      </w:r>
    </w:p>
    <w:p w:rsidR="00EE2CEB" w:rsidRPr="006610D7" w:rsidRDefault="00EE2CEB" w:rsidP="00EE2CEB">
      <w:pPr>
        <w:spacing w:after="120"/>
        <w:jc w:val="center"/>
        <w:rPr>
          <w:rFonts w:ascii="Verdana" w:hAnsi="Verdana" w:cs="Calibri"/>
          <w:szCs w:val="24"/>
          <w:u w:val="single"/>
        </w:rPr>
      </w:pPr>
      <w:r w:rsidRPr="006610D7">
        <w:rPr>
          <w:rFonts w:ascii="Verdana" w:hAnsi="Verdana" w:cs="Calibri"/>
          <w:szCs w:val="24"/>
          <w:u w:val="single"/>
        </w:rPr>
        <w:t xml:space="preserve">u </w:t>
      </w:r>
      <w:r w:rsidR="00030F39">
        <w:rPr>
          <w:rFonts w:ascii="Verdana" w:hAnsi="Verdana" w:cs="Calibri"/>
          <w:szCs w:val="24"/>
          <w:u w:val="single"/>
        </w:rPr>
        <w:t>ponedjeljak 26</w:t>
      </w:r>
      <w:r w:rsidRPr="006610D7">
        <w:rPr>
          <w:rFonts w:ascii="Verdana" w:hAnsi="Verdana" w:cs="Calibri"/>
          <w:szCs w:val="24"/>
          <w:u w:val="single"/>
        </w:rPr>
        <w:t xml:space="preserve">. listopada 2020. s početkom u 10 sati </w:t>
      </w:r>
    </w:p>
    <w:p w:rsidR="00030F39" w:rsidRPr="00CC00C0" w:rsidRDefault="00030F39" w:rsidP="00EE2CEB">
      <w:pPr>
        <w:spacing w:after="120" w:line="259" w:lineRule="auto"/>
        <w:jc w:val="center"/>
        <w:rPr>
          <w:rFonts w:ascii="Verdana" w:hAnsi="Verdana" w:cs="Calibri"/>
          <w:sz w:val="16"/>
          <w:szCs w:val="16"/>
          <w:lang w:val="it-IT"/>
        </w:rPr>
      </w:pPr>
    </w:p>
    <w:p w:rsidR="00EE2CEB" w:rsidRDefault="00EE2CEB" w:rsidP="00EE2CEB">
      <w:pPr>
        <w:spacing w:after="120" w:line="259" w:lineRule="auto"/>
        <w:jc w:val="center"/>
        <w:rPr>
          <w:rFonts w:ascii="Verdana" w:hAnsi="Verdana" w:cs="Calibri"/>
          <w:szCs w:val="24"/>
          <w:lang w:val="it-IT"/>
        </w:rPr>
      </w:pPr>
      <w:proofErr w:type="spellStart"/>
      <w:r w:rsidRPr="00552EE8">
        <w:rPr>
          <w:rFonts w:ascii="Verdana" w:hAnsi="Verdana" w:cs="Calibri"/>
          <w:szCs w:val="24"/>
          <w:lang w:val="it-IT"/>
        </w:rPr>
        <w:t>Rasprava</w:t>
      </w:r>
      <w:proofErr w:type="spellEnd"/>
      <w:r w:rsidRPr="00552EE8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552EE8">
        <w:rPr>
          <w:rFonts w:ascii="Verdana" w:hAnsi="Verdana" w:cs="Calibri"/>
          <w:szCs w:val="24"/>
          <w:lang w:val="it-IT"/>
        </w:rPr>
        <w:t>će</w:t>
      </w:r>
      <w:proofErr w:type="spellEnd"/>
      <w:r w:rsidRPr="00552EE8">
        <w:rPr>
          <w:rFonts w:ascii="Verdana" w:hAnsi="Verdana" w:cs="Calibri"/>
          <w:szCs w:val="24"/>
          <w:lang w:val="it-IT"/>
        </w:rPr>
        <w:t xml:space="preserve"> se </w:t>
      </w:r>
      <w:proofErr w:type="spellStart"/>
      <w:r w:rsidRPr="00552EE8">
        <w:rPr>
          <w:rFonts w:ascii="Verdana" w:hAnsi="Verdana" w:cs="Calibri"/>
          <w:szCs w:val="24"/>
          <w:lang w:val="it-IT"/>
        </w:rPr>
        <w:t>voditi</w:t>
      </w:r>
      <w:proofErr w:type="spellEnd"/>
      <w:r w:rsidRPr="00552EE8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552EE8">
        <w:rPr>
          <w:rFonts w:ascii="Verdana" w:hAnsi="Verdana" w:cs="Calibri"/>
          <w:szCs w:val="24"/>
          <w:lang w:val="it-IT"/>
        </w:rPr>
        <w:t>na</w:t>
      </w:r>
      <w:proofErr w:type="spellEnd"/>
      <w:r w:rsidRPr="00552EE8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552EE8">
        <w:rPr>
          <w:rFonts w:ascii="Verdana" w:hAnsi="Verdana" w:cs="Calibri"/>
          <w:szCs w:val="24"/>
          <w:lang w:val="it-IT"/>
        </w:rPr>
        <w:t>temelju</w:t>
      </w:r>
      <w:proofErr w:type="spellEnd"/>
      <w:r w:rsidRPr="00552EE8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552EE8">
        <w:rPr>
          <w:rFonts w:ascii="Verdana" w:hAnsi="Verdana" w:cs="Calibri"/>
          <w:szCs w:val="24"/>
          <w:lang w:val="it-IT"/>
        </w:rPr>
        <w:t>uvodnih</w:t>
      </w:r>
      <w:proofErr w:type="spellEnd"/>
      <w:r w:rsidRPr="00552EE8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552EE8">
        <w:rPr>
          <w:rFonts w:ascii="Verdana" w:hAnsi="Verdana" w:cs="Calibri"/>
          <w:szCs w:val="24"/>
          <w:lang w:val="it-IT"/>
        </w:rPr>
        <w:t>izlaganja</w:t>
      </w:r>
      <w:proofErr w:type="spellEnd"/>
      <w:r w:rsidRPr="000A7756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0A7756">
        <w:rPr>
          <w:rFonts w:ascii="Verdana" w:hAnsi="Verdana" w:cs="Calibri"/>
          <w:szCs w:val="24"/>
          <w:lang w:val="it-IT"/>
        </w:rPr>
        <w:t>koja</w:t>
      </w:r>
      <w:proofErr w:type="spellEnd"/>
      <w:r w:rsidRPr="000A7756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0A7756">
        <w:rPr>
          <w:rFonts w:ascii="Verdana" w:hAnsi="Verdana" w:cs="Calibri"/>
          <w:szCs w:val="24"/>
          <w:lang w:val="it-IT"/>
        </w:rPr>
        <w:t>će</w:t>
      </w:r>
      <w:proofErr w:type="spellEnd"/>
      <w:r w:rsidRPr="000A7756">
        <w:rPr>
          <w:rFonts w:ascii="Verdana" w:hAnsi="Verdana" w:cs="Calibri"/>
          <w:szCs w:val="24"/>
          <w:lang w:val="it-IT"/>
        </w:rPr>
        <w:t xml:space="preserve"> </w:t>
      </w:r>
      <w:proofErr w:type="spellStart"/>
      <w:r w:rsidRPr="000A7756">
        <w:rPr>
          <w:rFonts w:ascii="Verdana" w:hAnsi="Verdana" w:cs="Calibri"/>
          <w:szCs w:val="24"/>
          <w:lang w:val="it-IT"/>
        </w:rPr>
        <w:t>održati</w:t>
      </w:r>
      <w:proofErr w:type="spellEnd"/>
      <w:r w:rsidRPr="00552EE8">
        <w:rPr>
          <w:rFonts w:ascii="Verdana" w:hAnsi="Verdana" w:cs="Calibri"/>
          <w:szCs w:val="24"/>
          <w:lang w:val="it-IT"/>
        </w:rPr>
        <w:t>:</w:t>
      </w:r>
    </w:p>
    <w:p w:rsidR="008E2B49" w:rsidRPr="008E2B49" w:rsidRDefault="008E2B49" w:rsidP="00EE2CEB">
      <w:pPr>
        <w:spacing w:after="120" w:line="259" w:lineRule="auto"/>
        <w:jc w:val="center"/>
        <w:rPr>
          <w:rFonts w:ascii="Verdana" w:hAnsi="Verdana" w:cs="Calibri"/>
          <w:sz w:val="10"/>
          <w:szCs w:val="10"/>
          <w:lang w:val="it-IT"/>
        </w:rPr>
      </w:pPr>
    </w:p>
    <w:p w:rsidR="00030F39" w:rsidRPr="00030F39" w:rsidRDefault="00CC00C0" w:rsidP="00B237FF">
      <w:pPr>
        <w:spacing w:after="120" w:line="259" w:lineRule="auto"/>
        <w:ind w:right="-144"/>
        <w:jc w:val="center"/>
        <w:rPr>
          <w:rFonts w:ascii="Verdana" w:hAnsi="Verdana" w:cs="Calibri"/>
          <w:szCs w:val="24"/>
        </w:rPr>
      </w:pPr>
      <w:r w:rsidRPr="00030F39">
        <w:rPr>
          <w:rFonts w:ascii="Verdana" w:hAnsi="Verdana" w:cs="Calibri"/>
          <w:b/>
          <w:szCs w:val="24"/>
        </w:rPr>
        <w:t xml:space="preserve">prof. dr. </w:t>
      </w:r>
      <w:proofErr w:type="spellStart"/>
      <w:r w:rsidRPr="00030F39">
        <w:rPr>
          <w:rFonts w:ascii="Verdana" w:hAnsi="Verdana" w:cs="Calibri"/>
          <w:b/>
          <w:szCs w:val="24"/>
        </w:rPr>
        <w:t>sc</w:t>
      </w:r>
      <w:proofErr w:type="spellEnd"/>
      <w:r w:rsidRPr="00030F39">
        <w:rPr>
          <w:rFonts w:ascii="Verdana" w:hAnsi="Verdana" w:cs="Calibri"/>
          <w:b/>
          <w:szCs w:val="24"/>
        </w:rPr>
        <w:t xml:space="preserve">. </w:t>
      </w:r>
      <w:r w:rsidR="00030F39" w:rsidRPr="00030F39">
        <w:rPr>
          <w:rFonts w:ascii="Verdana" w:hAnsi="Verdana" w:cs="Calibri"/>
          <w:b/>
          <w:szCs w:val="24"/>
        </w:rPr>
        <w:t>HRVOJE SIKIRIĆ,</w:t>
      </w:r>
      <w:r w:rsidR="00030F39" w:rsidRPr="00030F39">
        <w:rPr>
          <w:rFonts w:ascii="Verdana" w:hAnsi="Verdana" w:cs="Calibri"/>
          <w:szCs w:val="24"/>
        </w:rPr>
        <w:t xml:space="preserve"> Pravni fakultet Sveučilišta u Zagrebu</w:t>
      </w:r>
      <w:r>
        <w:rPr>
          <w:rFonts w:ascii="Verdana" w:hAnsi="Verdana" w:cs="Calibri"/>
          <w:szCs w:val="24"/>
        </w:rPr>
        <w:t>:</w:t>
      </w:r>
    </w:p>
    <w:p w:rsidR="00030F39" w:rsidRPr="00CC00C0" w:rsidRDefault="00030F39" w:rsidP="008E2B49">
      <w:pPr>
        <w:spacing w:after="120" w:line="259" w:lineRule="auto"/>
        <w:jc w:val="center"/>
        <w:rPr>
          <w:rFonts w:ascii="Verdana" w:hAnsi="Verdana" w:cs="Calibri"/>
          <w:i/>
          <w:szCs w:val="24"/>
        </w:rPr>
      </w:pPr>
      <w:r w:rsidRPr="00CC00C0">
        <w:rPr>
          <w:rFonts w:ascii="Verdana" w:hAnsi="Verdana" w:cs="Calibri"/>
          <w:i/>
          <w:szCs w:val="24"/>
        </w:rPr>
        <w:t>EU i strana izravna ulaganja – opći pravni okvir – razvoj i postojeće stanje</w:t>
      </w:r>
    </w:p>
    <w:p w:rsidR="00CC00C0" w:rsidRDefault="00030F39" w:rsidP="008E2B49">
      <w:pPr>
        <w:spacing w:after="120" w:line="259" w:lineRule="auto"/>
        <w:jc w:val="center"/>
        <w:rPr>
          <w:rFonts w:ascii="Verdana" w:hAnsi="Verdana" w:cs="Calibri"/>
          <w:szCs w:val="24"/>
        </w:rPr>
      </w:pPr>
      <w:r w:rsidRPr="00030F39">
        <w:rPr>
          <w:rFonts w:ascii="Verdana" w:hAnsi="Verdana" w:cs="Calibri"/>
          <w:b/>
          <w:szCs w:val="24"/>
        </w:rPr>
        <w:t>JADRANKA OSREČAK,</w:t>
      </w:r>
      <w:r w:rsidRPr="00030F39">
        <w:rPr>
          <w:rFonts w:ascii="Verdana" w:hAnsi="Verdana" w:cs="Calibri"/>
          <w:szCs w:val="24"/>
        </w:rPr>
        <w:t xml:space="preserve"> Građansko-upravni odjel DORH-a</w:t>
      </w:r>
      <w:r w:rsidR="00CC00C0">
        <w:rPr>
          <w:rFonts w:ascii="Verdana" w:hAnsi="Verdana" w:cs="Calibri"/>
          <w:szCs w:val="24"/>
        </w:rPr>
        <w:t>:</w:t>
      </w:r>
    </w:p>
    <w:p w:rsidR="00030F39" w:rsidRPr="00CC00C0" w:rsidRDefault="00030F39" w:rsidP="00B237FF">
      <w:pPr>
        <w:spacing w:after="120" w:line="259" w:lineRule="auto"/>
        <w:ind w:right="-711"/>
        <w:jc w:val="center"/>
        <w:rPr>
          <w:rFonts w:ascii="Verdana" w:hAnsi="Verdana" w:cs="Calibri"/>
          <w:i/>
          <w:szCs w:val="24"/>
        </w:rPr>
      </w:pPr>
      <w:r w:rsidRPr="00CC00C0">
        <w:rPr>
          <w:rFonts w:ascii="Verdana" w:hAnsi="Verdana" w:cs="Calibri"/>
          <w:i/>
          <w:szCs w:val="24"/>
        </w:rPr>
        <w:t>Moguće alternative rješavanju sporova između država članica i investitora iz EU u svjetlu</w:t>
      </w:r>
      <w:r w:rsidR="00CC00C0" w:rsidRPr="00CC00C0">
        <w:rPr>
          <w:rFonts w:ascii="Verdana" w:hAnsi="Verdana" w:cs="Calibri"/>
          <w:i/>
          <w:szCs w:val="24"/>
        </w:rPr>
        <w:t xml:space="preserve"> </w:t>
      </w:r>
      <w:r w:rsidRPr="00CC00C0">
        <w:rPr>
          <w:rFonts w:ascii="Verdana" w:hAnsi="Verdana" w:cs="Calibri"/>
          <w:i/>
          <w:szCs w:val="24"/>
        </w:rPr>
        <w:t xml:space="preserve">Deklaracije od 19. siječnja 2019. i Ugovora o raskidu </w:t>
      </w:r>
      <w:proofErr w:type="spellStart"/>
      <w:r w:rsidRPr="00CC00C0">
        <w:rPr>
          <w:rFonts w:ascii="Verdana" w:hAnsi="Verdana" w:cs="Calibri"/>
          <w:i/>
          <w:szCs w:val="24"/>
        </w:rPr>
        <w:t>intra</w:t>
      </w:r>
      <w:proofErr w:type="spellEnd"/>
      <w:r w:rsidRPr="00CC00C0">
        <w:rPr>
          <w:rFonts w:ascii="Verdana" w:hAnsi="Verdana" w:cs="Calibri"/>
          <w:i/>
          <w:szCs w:val="24"/>
        </w:rPr>
        <w:t>-EU BIT-ova</w:t>
      </w:r>
    </w:p>
    <w:p w:rsidR="00CC00C0" w:rsidRDefault="00CC00C0" w:rsidP="008E2B49">
      <w:pPr>
        <w:spacing w:after="120" w:line="259" w:lineRule="auto"/>
        <w:jc w:val="center"/>
        <w:rPr>
          <w:rFonts w:ascii="Verdana" w:hAnsi="Verdana" w:cs="Calibri"/>
          <w:szCs w:val="24"/>
        </w:rPr>
      </w:pPr>
      <w:r w:rsidRPr="00030F39">
        <w:rPr>
          <w:rFonts w:ascii="Verdana" w:hAnsi="Verdana" w:cs="Calibri"/>
          <w:b/>
          <w:szCs w:val="24"/>
        </w:rPr>
        <w:t xml:space="preserve">dr.sc. </w:t>
      </w:r>
      <w:r w:rsidR="00030F39" w:rsidRPr="00030F39">
        <w:rPr>
          <w:rFonts w:ascii="Verdana" w:hAnsi="Verdana" w:cs="Calibri"/>
          <w:b/>
          <w:szCs w:val="24"/>
        </w:rPr>
        <w:t>ORSAT MILJENIĆ,</w:t>
      </w:r>
      <w:r w:rsidR="00030F39" w:rsidRPr="00030F39">
        <w:rPr>
          <w:rFonts w:ascii="Verdana" w:hAnsi="Verdana" w:cs="Calibri"/>
          <w:szCs w:val="24"/>
        </w:rPr>
        <w:t xml:space="preserve"> predstojnik Ureda Predsjednika RH</w:t>
      </w:r>
      <w:r>
        <w:rPr>
          <w:rFonts w:ascii="Verdana" w:hAnsi="Verdana" w:cs="Calibri"/>
          <w:szCs w:val="24"/>
        </w:rPr>
        <w:t>:</w:t>
      </w:r>
    </w:p>
    <w:p w:rsidR="00030F39" w:rsidRPr="00CC00C0" w:rsidRDefault="00030F39" w:rsidP="008E2B49">
      <w:pPr>
        <w:spacing w:after="120" w:line="259" w:lineRule="auto"/>
        <w:jc w:val="center"/>
        <w:rPr>
          <w:rFonts w:ascii="Verdana" w:hAnsi="Verdana" w:cs="Calibri"/>
          <w:i/>
          <w:szCs w:val="24"/>
        </w:rPr>
      </w:pPr>
      <w:r w:rsidRPr="00CC00C0">
        <w:rPr>
          <w:rFonts w:ascii="Verdana" w:hAnsi="Verdana" w:cs="Calibri"/>
          <w:i/>
          <w:szCs w:val="24"/>
        </w:rPr>
        <w:t>Budućnost Ugovora o energetskoj povelji u kontekstu novog europskog investicijskog uređenja</w:t>
      </w:r>
    </w:p>
    <w:p w:rsidR="00CC00C0" w:rsidRDefault="00030F39" w:rsidP="008E2B49">
      <w:pPr>
        <w:spacing w:after="120" w:line="259" w:lineRule="auto"/>
        <w:ind w:right="-428"/>
        <w:jc w:val="center"/>
        <w:rPr>
          <w:rFonts w:ascii="Verdana" w:hAnsi="Verdana" w:cs="Calibri"/>
          <w:szCs w:val="24"/>
        </w:rPr>
      </w:pPr>
      <w:r w:rsidRPr="00030F39">
        <w:rPr>
          <w:rFonts w:ascii="Verdana" w:hAnsi="Verdana" w:cs="Calibri"/>
          <w:b/>
          <w:szCs w:val="24"/>
        </w:rPr>
        <w:t>JOZO JURČEVIĆ</w:t>
      </w:r>
      <w:r w:rsidRPr="00030F39">
        <w:rPr>
          <w:rFonts w:ascii="Verdana" w:hAnsi="Verdana" w:cs="Calibri"/>
          <w:szCs w:val="24"/>
        </w:rPr>
        <w:t>, zamjenik Glavnog državnog odvjetnika, voditelj Građansko-upravnog odjela DORH-a</w:t>
      </w:r>
      <w:r w:rsidR="00CC00C0">
        <w:rPr>
          <w:rFonts w:ascii="Verdana" w:hAnsi="Verdana" w:cs="Calibri"/>
          <w:szCs w:val="24"/>
        </w:rPr>
        <w:t>:</w:t>
      </w:r>
    </w:p>
    <w:p w:rsidR="00EE2CEB" w:rsidRDefault="00030F39" w:rsidP="008E2B49">
      <w:pPr>
        <w:spacing w:after="120" w:line="259" w:lineRule="auto"/>
        <w:ind w:right="-428"/>
        <w:jc w:val="center"/>
        <w:rPr>
          <w:rFonts w:ascii="Verdana" w:hAnsi="Verdana" w:cs="Calibri"/>
          <w:szCs w:val="24"/>
        </w:rPr>
      </w:pPr>
      <w:r w:rsidRPr="00CC00C0">
        <w:rPr>
          <w:rFonts w:ascii="Verdana" w:hAnsi="Verdana" w:cs="Calibri"/>
          <w:i/>
          <w:szCs w:val="24"/>
        </w:rPr>
        <w:t xml:space="preserve">Zaštita imovinskih interesa </w:t>
      </w:r>
      <w:r w:rsidR="00CC00C0" w:rsidRPr="00CC00C0">
        <w:rPr>
          <w:rFonts w:ascii="Verdana" w:hAnsi="Verdana" w:cs="Calibri"/>
          <w:i/>
          <w:szCs w:val="24"/>
        </w:rPr>
        <w:t>R</w:t>
      </w:r>
      <w:r w:rsidRPr="00CC00C0">
        <w:rPr>
          <w:rFonts w:ascii="Verdana" w:hAnsi="Verdana" w:cs="Calibri"/>
          <w:i/>
          <w:szCs w:val="24"/>
        </w:rPr>
        <w:t>epublike Hrvatske i uloga DORH-</w:t>
      </w:r>
      <w:r w:rsidRPr="00030F39">
        <w:rPr>
          <w:rFonts w:ascii="Verdana" w:hAnsi="Verdana" w:cs="Calibri"/>
          <w:szCs w:val="24"/>
        </w:rPr>
        <w:t>a</w:t>
      </w:r>
    </w:p>
    <w:p w:rsidR="00CC00C0" w:rsidRPr="00CC00C0" w:rsidRDefault="00CC00C0" w:rsidP="00CC00C0">
      <w:pPr>
        <w:spacing w:after="120" w:line="259" w:lineRule="auto"/>
        <w:ind w:right="-428"/>
        <w:rPr>
          <w:rFonts w:ascii="Verdana" w:hAnsi="Verdana" w:cs="Calibri"/>
          <w:sz w:val="16"/>
          <w:szCs w:val="16"/>
        </w:rPr>
      </w:pPr>
    </w:p>
    <w:p w:rsidR="00EE2CEB" w:rsidRDefault="00EE2CEB" w:rsidP="00EE2CEB">
      <w:pPr>
        <w:spacing w:after="120" w:line="259" w:lineRule="auto"/>
        <w:jc w:val="center"/>
        <w:rPr>
          <w:rFonts w:ascii="Verdana" w:hAnsi="Verdana" w:cs="Calibri"/>
          <w:szCs w:val="24"/>
        </w:rPr>
      </w:pPr>
      <w:r>
        <w:rPr>
          <w:rFonts w:ascii="Verdana" w:hAnsi="Verdana" w:cs="Calibri"/>
          <w:szCs w:val="24"/>
        </w:rPr>
        <w:t>Voditelj Okruglog stola:</w:t>
      </w:r>
    </w:p>
    <w:p w:rsidR="00EE2CEB" w:rsidRDefault="00EE2CEB" w:rsidP="00EE2CEB">
      <w:pPr>
        <w:spacing w:after="120" w:line="259" w:lineRule="auto"/>
        <w:jc w:val="center"/>
        <w:rPr>
          <w:rFonts w:ascii="Verdana" w:hAnsi="Verdana" w:cs="Calibri"/>
          <w:szCs w:val="24"/>
        </w:rPr>
      </w:pPr>
      <w:r>
        <w:rPr>
          <w:rFonts w:ascii="Verdana" w:hAnsi="Verdana" w:cs="Calibri"/>
          <w:szCs w:val="24"/>
        </w:rPr>
        <w:t xml:space="preserve">Akademik </w:t>
      </w:r>
      <w:r w:rsidRPr="009902A8">
        <w:rPr>
          <w:rFonts w:ascii="Verdana" w:hAnsi="Verdana" w:cs="Calibri"/>
          <w:b/>
          <w:szCs w:val="24"/>
        </w:rPr>
        <w:t>Jakša BARBIĆ</w:t>
      </w:r>
      <w:r>
        <w:rPr>
          <w:rFonts w:ascii="Verdana" w:hAnsi="Verdana" w:cs="Calibri"/>
          <w:szCs w:val="24"/>
        </w:rPr>
        <w:t>, predsjednik Znanstvenog vijeća HAZU za državnu upravu, pravosuđe i vladavinu prava</w:t>
      </w:r>
    </w:p>
    <w:p w:rsidR="00CC00C0" w:rsidRPr="00CC00C0" w:rsidRDefault="00CC00C0" w:rsidP="00EE2CEB">
      <w:pPr>
        <w:spacing w:after="120" w:line="259" w:lineRule="auto"/>
        <w:jc w:val="both"/>
        <w:rPr>
          <w:rFonts w:ascii="Verdana" w:hAnsi="Verdana" w:cs="Calibri"/>
          <w:sz w:val="16"/>
          <w:szCs w:val="16"/>
        </w:rPr>
      </w:pPr>
    </w:p>
    <w:p w:rsidR="00CC00C0" w:rsidRDefault="00B50474" w:rsidP="00B237FF">
      <w:pPr>
        <w:spacing w:after="120" w:line="259" w:lineRule="auto"/>
        <w:ind w:right="-286"/>
        <w:jc w:val="both"/>
        <w:rPr>
          <w:rFonts w:ascii="Verdana" w:hAnsi="Verdana" w:cs="Calibri"/>
          <w:szCs w:val="24"/>
        </w:rPr>
      </w:pPr>
      <w:r>
        <w:rPr>
          <w:rFonts w:ascii="Verdana" w:hAnsi="Verdana" w:cs="Calibri"/>
          <w:szCs w:val="24"/>
        </w:rPr>
        <w:t>Budući da</w:t>
      </w:r>
      <w:r w:rsidR="00EE2CEB" w:rsidRPr="000A7756">
        <w:rPr>
          <w:rFonts w:ascii="Verdana" w:hAnsi="Verdana" w:cs="Calibri"/>
          <w:szCs w:val="24"/>
        </w:rPr>
        <w:t xml:space="preserve"> će se </w:t>
      </w:r>
      <w:r w:rsidR="00A111AE">
        <w:rPr>
          <w:rFonts w:ascii="Verdana" w:hAnsi="Verdana" w:cs="Calibri"/>
          <w:szCs w:val="24"/>
        </w:rPr>
        <w:t>o</w:t>
      </w:r>
      <w:r w:rsidR="00EE2CEB" w:rsidRPr="000A7756">
        <w:rPr>
          <w:rFonts w:ascii="Verdana" w:hAnsi="Verdana" w:cs="Calibri"/>
          <w:szCs w:val="24"/>
        </w:rPr>
        <w:t xml:space="preserve">krugli stol održati kao videokonferencija, molimo Vas da svoje </w:t>
      </w:r>
      <w:r w:rsidR="00EE2CEB" w:rsidRPr="000A7756">
        <w:rPr>
          <w:rFonts w:ascii="Verdana" w:hAnsi="Verdana" w:cs="Calibri"/>
          <w:b/>
          <w:szCs w:val="24"/>
        </w:rPr>
        <w:t xml:space="preserve">elektroničke adrese dostavite na adresu </w:t>
      </w:r>
      <w:hyperlink r:id="rId7" w:history="1">
        <w:r w:rsidR="00EE2CEB" w:rsidRPr="000A7756">
          <w:rPr>
            <w:rStyle w:val="Hiperveza"/>
            <w:rFonts w:ascii="Verdana" w:hAnsi="Verdana" w:cs="Calibri"/>
            <w:b/>
            <w:szCs w:val="24"/>
          </w:rPr>
          <w:t>zmuhek@hazu.hr</w:t>
        </w:r>
      </w:hyperlink>
      <w:r w:rsidR="00EE2CEB" w:rsidRPr="000A7756">
        <w:rPr>
          <w:rFonts w:ascii="Verdana" w:hAnsi="Verdana" w:cs="Calibri"/>
          <w:b/>
          <w:szCs w:val="24"/>
        </w:rPr>
        <w:t xml:space="preserve"> </w:t>
      </w:r>
      <w:r w:rsidR="00EE2CEB" w:rsidRPr="000A7756">
        <w:rPr>
          <w:rFonts w:ascii="Verdana" w:hAnsi="Verdana" w:cs="Calibri"/>
          <w:szCs w:val="24"/>
        </w:rPr>
        <w:t xml:space="preserve">kako bismo Vam povratno javili poveznicu (link) za </w:t>
      </w:r>
      <w:r w:rsidR="00F55504">
        <w:rPr>
          <w:rFonts w:ascii="Verdana" w:hAnsi="Verdana" w:cs="Calibri"/>
          <w:szCs w:val="24"/>
        </w:rPr>
        <w:t>praćenje</w:t>
      </w:r>
      <w:r w:rsidR="00EE2CEB" w:rsidRPr="000A7756">
        <w:rPr>
          <w:rFonts w:ascii="Verdana" w:hAnsi="Verdana" w:cs="Calibri"/>
          <w:szCs w:val="24"/>
        </w:rPr>
        <w:t xml:space="preserve"> </w:t>
      </w:r>
      <w:r w:rsidR="00A111AE">
        <w:rPr>
          <w:rFonts w:ascii="Verdana" w:hAnsi="Verdana" w:cs="Calibri"/>
          <w:szCs w:val="24"/>
        </w:rPr>
        <w:t>o</w:t>
      </w:r>
      <w:r w:rsidR="00EE2CEB" w:rsidRPr="000A7756">
        <w:rPr>
          <w:rFonts w:ascii="Verdana" w:hAnsi="Verdana" w:cs="Calibri"/>
          <w:szCs w:val="24"/>
        </w:rPr>
        <w:t>kruglo</w:t>
      </w:r>
      <w:r w:rsidR="00F55504">
        <w:rPr>
          <w:rFonts w:ascii="Verdana" w:hAnsi="Verdana" w:cs="Calibri"/>
          <w:szCs w:val="24"/>
        </w:rPr>
        <w:t>g</w:t>
      </w:r>
      <w:r w:rsidR="00EE2CEB" w:rsidRPr="000A7756">
        <w:rPr>
          <w:rFonts w:ascii="Verdana" w:hAnsi="Verdana" w:cs="Calibri"/>
          <w:szCs w:val="24"/>
        </w:rPr>
        <w:t xml:space="preserve"> stol</w:t>
      </w:r>
      <w:r w:rsidR="00F55504">
        <w:rPr>
          <w:rFonts w:ascii="Verdana" w:hAnsi="Verdana" w:cs="Calibri"/>
          <w:szCs w:val="24"/>
        </w:rPr>
        <w:t>a</w:t>
      </w:r>
      <w:bookmarkStart w:id="0" w:name="_GoBack"/>
      <w:bookmarkEnd w:id="0"/>
      <w:r w:rsidR="00EE2CEB" w:rsidRPr="000A7756">
        <w:rPr>
          <w:rFonts w:ascii="Verdana" w:hAnsi="Verdana" w:cs="Calibri"/>
          <w:szCs w:val="24"/>
        </w:rPr>
        <w:t>.</w:t>
      </w:r>
    </w:p>
    <w:p w:rsidR="00EE2CEB" w:rsidRDefault="00EE2CEB" w:rsidP="00EE2CEB">
      <w:pPr>
        <w:spacing w:line="259" w:lineRule="auto"/>
        <w:rPr>
          <w:rFonts w:ascii="Verdana" w:hAnsi="Verdana" w:cs="Calibri"/>
          <w:b/>
          <w:szCs w:val="24"/>
          <w:lang w:val="it-IT"/>
        </w:rPr>
      </w:pPr>
    </w:p>
    <w:p w:rsidR="00B237FF" w:rsidRDefault="00B237FF" w:rsidP="00CC00C0">
      <w:pPr>
        <w:spacing w:line="259" w:lineRule="auto"/>
        <w:rPr>
          <w:rFonts w:ascii="Verdana" w:hAnsi="Verdana" w:cs="Calibri"/>
          <w:b/>
          <w:szCs w:val="24"/>
          <w:lang w:val="it-IT"/>
        </w:rPr>
      </w:pPr>
    </w:p>
    <w:p w:rsidR="00B237FF" w:rsidRDefault="00B237FF" w:rsidP="00CC00C0">
      <w:pPr>
        <w:spacing w:line="259" w:lineRule="auto"/>
        <w:rPr>
          <w:rFonts w:ascii="Verdana" w:hAnsi="Verdana" w:cs="Calibri"/>
          <w:b/>
          <w:szCs w:val="24"/>
          <w:lang w:val="it-IT"/>
        </w:rPr>
      </w:pPr>
    </w:p>
    <w:p w:rsidR="00CC00C0" w:rsidRDefault="00CC00C0" w:rsidP="00CC00C0">
      <w:pPr>
        <w:spacing w:line="259" w:lineRule="auto"/>
        <w:rPr>
          <w:rFonts w:ascii="Verdana" w:hAnsi="Verdana" w:cs="Calibri"/>
          <w:b/>
          <w:szCs w:val="24"/>
          <w:lang w:val="it-IT"/>
        </w:rPr>
      </w:pPr>
      <w:proofErr w:type="spellStart"/>
      <w:r>
        <w:rPr>
          <w:rFonts w:ascii="Verdana" w:hAnsi="Verdana" w:cs="Calibri"/>
          <w:b/>
          <w:szCs w:val="24"/>
          <w:lang w:val="it-IT"/>
        </w:rPr>
        <w:lastRenderedPageBreak/>
        <w:t>Naglasci</w:t>
      </w:r>
      <w:proofErr w:type="spellEnd"/>
      <w:r>
        <w:rPr>
          <w:rFonts w:ascii="Verdana" w:hAnsi="Verdana" w:cs="Calibri"/>
          <w:b/>
          <w:szCs w:val="24"/>
          <w:lang w:val="it-IT"/>
        </w:rPr>
        <w:t xml:space="preserve"> i </w:t>
      </w:r>
      <w:proofErr w:type="spellStart"/>
      <w:r>
        <w:rPr>
          <w:rFonts w:ascii="Verdana" w:hAnsi="Verdana" w:cs="Calibri"/>
          <w:b/>
          <w:szCs w:val="24"/>
          <w:lang w:val="it-IT"/>
        </w:rPr>
        <w:t>cilj</w:t>
      </w:r>
      <w:proofErr w:type="spellEnd"/>
      <w:r>
        <w:rPr>
          <w:rFonts w:ascii="Verdana" w:hAnsi="Verdana" w:cs="Calibri"/>
          <w:b/>
          <w:szCs w:val="24"/>
          <w:lang w:val="it-IT"/>
        </w:rPr>
        <w:t xml:space="preserve"> </w:t>
      </w:r>
      <w:proofErr w:type="spellStart"/>
      <w:r>
        <w:rPr>
          <w:rFonts w:ascii="Verdana" w:hAnsi="Verdana" w:cs="Calibri"/>
          <w:b/>
          <w:szCs w:val="24"/>
          <w:lang w:val="it-IT"/>
        </w:rPr>
        <w:t>Okruglog</w:t>
      </w:r>
      <w:proofErr w:type="spellEnd"/>
      <w:r>
        <w:rPr>
          <w:rFonts w:ascii="Verdana" w:hAnsi="Verdana" w:cs="Calibri"/>
          <w:b/>
          <w:szCs w:val="24"/>
          <w:lang w:val="it-IT"/>
        </w:rPr>
        <w:t xml:space="preserve"> stola</w:t>
      </w:r>
    </w:p>
    <w:p w:rsidR="00CC00C0" w:rsidRDefault="00CC00C0" w:rsidP="00CC00C0">
      <w:pPr>
        <w:spacing w:line="259" w:lineRule="auto"/>
        <w:rPr>
          <w:rFonts w:ascii="Verdana" w:hAnsi="Verdana" w:cs="Calibri"/>
          <w:b/>
          <w:szCs w:val="24"/>
          <w:lang w:val="it-IT"/>
        </w:rPr>
      </w:pPr>
    </w:p>
    <w:p w:rsidR="00CC00C0" w:rsidRPr="00CC00C0" w:rsidRDefault="00CC00C0" w:rsidP="00CC00C0">
      <w:pPr>
        <w:ind w:firstLine="708"/>
        <w:jc w:val="both"/>
        <w:rPr>
          <w:rFonts w:ascii="Verdana" w:hAnsi="Verdana"/>
          <w:bCs/>
          <w:sz w:val="22"/>
          <w:szCs w:val="22"/>
        </w:rPr>
      </w:pPr>
      <w:r w:rsidRPr="00CC00C0">
        <w:rPr>
          <w:rFonts w:ascii="Verdana" w:hAnsi="Verdana"/>
          <w:szCs w:val="24"/>
        </w:rPr>
        <w:t xml:space="preserve">Odluka Suda Europske unije u predmetu </w:t>
      </w:r>
      <w:proofErr w:type="spellStart"/>
      <w:r w:rsidRPr="00CC00C0">
        <w:rPr>
          <w:rFonts w:ascii="Verdana" w:hAnsi="Verdana"/>
          <w:i/>
          <w:iCs/>
          <w:szCs w:val="24"/>
        </w:rPr>
        <w:t>Achmea</w:t>
      </w:r>
      <w:proofErr w:type="spellEnd"/>
      <w:r w:rsidRPr="00CC00C0">
        <w:rPr>
          <w:rFonts w:ascii="Verdana" w:hAnsi="Verdana"/>
          <w:i/>
          <w:iCs/>
          <w:szCs w:val="24"/>
        </w:rPr>
        <w:t xml:space="preserve"> </w:t>
      </w:r>
      <w:r w:rsidRPr="00CC00C0">
        <w:rPr>
          <w:rFonts w:ascii="Verdana" w:hAnsi="Verdana"/>
          <w:szCs w:val="24"/>
        </w:rPr>
        <w:t>važna je prekretnica za cjelovitu reformu pravnog okvira za strana ulaganja u Europskoj uniji. Kad se govori o pravnom uređenju izravnih stranih ulaganja u države članice Unije i to ulaganjima između država članica Unije i iz trećih država u države članice, naročito o sporazumima o zaštiti stranih ulaganja treba razlikovati razdoblje do donošenja spomenute odluke Suda i nakon nje. Nedostaci pravnog uređenja u prvom spomenutom razdoblju potakli su Komisiju da predloži cjelovitu reformu stranih ulaganja u Europskoj uniji. Stoga je potrebno razmotriti razloge za reformu sustava i stvaranje novog pravnog okvira za strana ulaganja.</w:t>
      </w:r>
    </w:p>
    <w:p w:rsidR="00CC00C0" w:rsidRPr="00CC00C0" w:rsidRDefault="00CC00C0" w:rsidP="00CC00C0">
      <w:pPr>
        <w:ind w:firstLine="708"/>
        <w:jc w:val="both"/>
        <w:rPr>
          <w:rFonts w:ascii="Verdana" w:hAnsi="Verdana"/>
          <w:bCs/>
          <w:sz w:val="22"/>
          <w:szCs w:val="22"/>
        </w:rPr>
      </w:pPr>
      <w:r w:rsidRPr="00CC00C0">
        <w:rPr>
          <w:rFonts w:ascii="Verdana" w:hAnsi="Verdana"/>
          <w:color w:val="222222"/>
          <w:szCs w:val="24"/>
          <w:shd w:val="clear" w:color="auto" w:fill="FFFFFF"/>
        </w:rPr>
        <w:t xml:space="preserve">Odluka Suda u predmetu </w:t>
      </w:r>
      <w:proofErr w:type="spellStart"/>
      <w:r w:rsidRPr="00CC00C0">
        <w:rPr>
          <w:rFonts w:ascii="Verdana" w:hAnsi="Verdana"/>
          <w:i/>
          <w:iCs/>
          <w:color w:val="222222"/>
          <w:szCs w:val="24"/>
          <w:shd w:val="clear" w:color="auto" w:fill="FFFFFF"/>
        </w:rPr>
        <w:t>Achmea</w:t>
      </w:r>
      <w:proofErr w:type="spellEnd"/>
      <w:r w:rsidRPr="00CC00C0">
        <w:rPr>
          <w:rFonts w:ascii="Verdana" w:hAnsi="Verdana"/>
          <w:color w:val="222222"/>
          <w:szCs w:val="24"/>
          <w:shd w:val="clear" w:color="auto" w:fill="FFFFFF"/>
        </w:rPr>
        <w:t xml:space="preserve"> i Deklaracija zemalja članica Unije od 19. siječnja 2019. daju do znanja da klauzule u bilateralnim sporazumima za zaštitu investitora iz zemalja članica o načinu rješavanja sporova arbitražom smatraju nisu u skladu s europskim pravom pa se ide za time da se još ove godine potpiše sporazum o raskidu svih takvih ugovora između država članica Unije. Investitori nisu s time zadovoljni zbog toga što se time uskraćuje postojeća  </w:t>
      </w:r>
      <w:proofErr w:type="spellStart"/>
      <w:r w:rsidRPr="00CC00C0">
        <w:rPr>
          <w:rFonts w:ascii="Verdana" w:hAnsi="Verdana"/>
          <w:color w:val="222222"/>
          <w:szCs w:val="24"/>
          <w:shd w:val="clear" w:color="auto" w:fill="FFFFFF"/>
        </w:rPr>
        <w:t>procesnopravna</w:t>
      </w:r>
      <w:proofErr w:type="spellEnd"/>
      <w:r w:rsidRPr="00CC00C0">
        <w:rPr>
          <w:rFonts w:ascii="Verdana" w:hAnsi="Verdana"/>
          <w:color w:val="222222"/>
          <w:szCs w:val="24"/>
          <w:shd w:val="clear" w:color="auto" w:fill="FFFFFF"/>
        </w:rPr>
        <w:t xml:space="preserve"> i </w:t>
      </w:r>
      <w:proofErr w:type="spellStart"/>
      <w:r w:rsidRPr="00CC00C0">
        <w:rPr>
          <w:rFonts w:ascii="Verdana" w:hAnsi="Verdana"/>
          <w:color w:val="222222"/>
          <w:szCs w:val="24"/>
          <w:shd w:val="clear" w:color="auto" w:fill="FFFFFF"/>
        </w:rPr>
        <w:t>materijalnopravna</w:t>
      </w:r>
      <w:proofErr w:type="spellEnd"/>
      <w:r w:rsidRPr="00CC00C0">
        <w:rPr>
          <w:rFonts w:ascii="Verdana" w:hAnsi="Verdana"/>
          <w:color w:val="222222"/>
          <w:szCs w:val="24"/>
          <w:shd w:val="clear" w:color="auto" w:fill="FFFFFF"/>
        </w:rPr>
        <w:t xml:space="preserve"> zaštita. Taj bi ugovor trebao urediti i način rješavanja sporova, ali je pitanje provedivosti tih odredbi u praksi i kako će to utjecati na arbitražne postupke u tijeku.</w:t>
      </w:r>
    </w:p>
    <w:p w:rsidR="00CC00C0" w:rsidRPr="00CC00C0" w:rsidRDefault="00CC00C0" w:rsidP="00CC00C0">
      <w:pPr>
        <w:shd w:val="clear" w:color="auto" w:fill="FFFFFF"/>
        <w:ind w:firstLine="708"/>
        <w:jc w:val="both"/>
        <w:rPr>
          <w:rFonts w:ascii="Verdana" w:hAnsi="Verdana"/>
          <w:bCs/>
          <w:sz w:val="22"/>
          <w:szCs w:val="22"/>
        </w:rPr>
      </w:pPr>
      <w:r w:rsidRPr="00CC00C0">
        <w:rPr>
          <w:rFonts w:ascii="Verdana" w:hAnsi="Verdana"/>
          <w:color w:val="222222"/>
          <w:szCs w:val="24"/>
          <w:shd w:val="clear" w:color="auto" w:fill="FFFFFF"/>
        </w:rPr>
        <w:t xml:space="preserve">U vezi s time je i pitanje  primjenjivosti Ugovora o energetskoj povelji na sporove koji se vode unutar Europske unije. Iako se u arbitražnoj praksi taj ugovor primjenjuje i na ugovore između država članica Unije, valja pripomenuti da o tome još nije imao prigodu odlučivati Sud Europske unije. Odluka u predmetu </w:t>
      </w:r>
      <w:proofErr w:type="spellStart"/>
      <w:r w:rsidRPr="00CC00C0">
        <w:rPr>
          <w:rFonts w:ascii="Verdana" w:hAnsi="Verdana"/>
          <w:i/>
          <w:iCs/>
          <w:color w:val="222222"/>
          <w:szCs w:val="24"/>
          <w:shd w:val="clear" w:color="auto" w:fill="FFFFFF"/>
        </w:rPr>
        <w:t>Achmea</w:t>
      </w:r>
      <w:proofErr w:type="spellEnd"/>
      <w:r w:rsidRPr="00CC00C0">
        <w:rPr>
          <w:rFonts w:ascii="Verdana" w:hAnsi="Verdana"/>
          <w:i/>
          <w:iCs/>
          <w:color w:val="222222"/>
          <w:szCs w:val="24"/>
          <w:shd w:val="clear" w:color="auto" w:fill="FFFFFF"/>
        </w:rPr>
        <w:t xml:space="preserve"> </w:t>
      </w:r>
      <w:r w:rsidRPr="00CC00C0">
        <w:rPr>
          <w:rFonts w:ascii="Verdana" w:hAnsi="Verdana"/>
          <w:color w:val="222222"/>
          <w:szCs w:val="24"/>
          <w:shd w:val="clear" w:color="auto" w:fill="FFFFFF"/>
        </w:rPr>
        <w:t xml:space="preserve">upućuje na to da bi stajalište Suda moglo biti kao i u pogledu bilateralnih ugovora o zaštiti stranih ulaganja sklopljenih između država članica. </w:t>
      </w:r>
      <w:r w:rsidRPr="00CC00C0">
        <w:rPr>
          <w:rFonts w:ascii="Verdana" w:hAnsi="Verdana"/>
          <w:color w:val="222222"/>
          <w:szCs w:val="24"/>
        </w:rPr>
        <w:t xml:space="preserve"> Ako bi bilo tako, to bi s obzirom na brojnost sporova (u ovom trenutku je to najkorišteniji investicijski ugovor u investicijskim arbitražama) imalo značajne  posljedice  za međunarodno investicijsko pravo. Osjetile bi se i u energetskoj politici Europske unije, posebice onoj u odnosu na obnovljive izvore, jer brojni investitori a još više države kod promjena svojih politika prema obnovljivim izvorima  moraju to uzeti u obzir. Za Hrvatsku je to posebno bitno jer, osim velikog spora MOL protiv Hrvatske koji se temelji na spomenutom Ugovoru, još je nekoliko manjih koji se tiču investitora u energetiku. Osim toga, bitno je i u odnosu na promjene koje se događaju o odnosu na poticaje i općenito uređenje obnovljivih izvora.</w:t>
      </w:r>
    </w:p>
    <w:p w:rsidR="00CC00C0" w:rsidRPr="00CC00C0" w:rsidRDefault="00CC00C0" w:rsidP="00CC00C0">
      <w:pPr>
        <w:ind w:firstLine="708"/>
        <w:jc w:val="both"/>
        <w:rPr>
          <w:rFonts w:ascii="Verdana" w:hAnsi="Verdana"/>
          <w:szCs w:val="24"/>
        </w:rPr>
      </w:pPr>
      <w:r w:rsidRPr="00CC00C0">
        <w:rPr>
          <w:rFonts w:ascii="Verdana" w:hAnsi="Verdana"/>
          <w:szCs w:val="24"/>
        </w:rPr>
        <w:t>Kako po Zakonu o državnom odvjetništvu Državno odvjetništvo Republike Hrvatske zastupa Republiku Hrvatsku i u arbitražnim sporovima pa i onima koji proizlaze iz zaštite stranih ulaganja dobro je raspraviti njegovu ulogu u tome i iskustva iz dosad vođenih sporova pred arbitražama u svijetu.</w:t>
      </w:r>
    </w:p>
    <w:p w:rsidR="00EE2CEB" w:rsidRPr="00CC00C0" w:rsidRDefault="00EE2CEB" w:rsidP="00EE2CEB">
      <w:pPr>
        <w:spacing w:after="120" w:line="264" w:lineRule="auto"/>
        <w:ind w:firstLine="709"/>
        <w:jc w:val="both"/>
        <w:rPr>
          <w:rFonts w:ascii="Verdana" w:hAnsi="Verdana" w:cstheme="minorHAnsi"/>
          <w:szCs w:val="24"/>
        </w:rPr>
      </w:pPr>
    </w:p>
    <w:p w:rsidR="00EE2CEB" w:rsidRDefault="00EE2CEB" w:rsidP="00EE2CEB">
      <w:pPr>
        <w:spacing w:after="120" w:line="264" w:lineRule="auto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>Srdačno Vas pozdravljamo, zahvaljujemo na suradnji i očekujemo Vaše sudjelovanje.</w:t>
      </w:r>
    </w:p>
    <w:p w:rsidR="00CC00C0" w:rsidRDefault="00EE2CEB" w:rsidP="00CC00C0">
      <w:pPr>
        <w:spacing w:line="264" w:lineRule="auto"/>
        <w:jc w:val="right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Ured za odnose s javnošću i medije </w:t>
      </w:r>
    </w:p>
    <w:p w:rsidR="00EE2CEB" w:rsidRPr="009D5DAD" w:rsidRDefault="00CC00C0" w:rsidP="00CC00C0">
      <w:pPr>
        <w:spacing w:line="264" w:lineRule="auto"/>
        <w:jc w:val="right"/>
      </w:pPr>
      <w:r>
        <w:rPr>
          <w:rFonts w:ascii="Verdana" w:hAnsi="Verdana" w:cstheme="minorHAnsi"/>
          <w:szCs w:val="24"/>
        </w:rPr>
        <w:t>Marijan Lipovac</w:t>
      </w:r>
    </w:p>
    <w:sectPr w:rsidR="00EE2CEB" w:rsidRPr="009D5DAD" w:rsidSect="00B47C07">
      <w:headerReference w:type="default" r:id="rId8"/>
      <w:footerReference w:type="default" r:id="rId9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2C" w:rsidRDefault="00D41E2C">
      <w:r>
        <w:separator/>
      </w:r>
    </w:p>
  </w:endnote>
  <w:endnote w:type="continuationSeparator" w:id="0">
    <w:p w:rsidR="00D41E2C" w:rsidRDefault="00D4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B" w:rsidRPr="0007113F" w:rsidRDefault="00A91EBB" w:rsidP="005172B5">
    <w:pPr>
      <w:pStyle w:val="Podnoje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Podnoje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2C" w:rsidRDefault="00D41E2C">
      <w:r>
        <w:separator/>
      </w:r>
    </w:p>
  </w:footnote>
  <w:footnote w:type="continuationSeparator" w:id="0">
    <w:p w:rsidR="00D41E2C" w:rsidRDefault="00D4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B" w:rsidRDefault="004F6FA6" w:rsidP="005172B5">
    <w:pPr>
      <w:pStyle w:val="Zaglavlje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Zaglavlje"/>
      <w:jc w:val="center"/>
    </w:pPr>
  </w:p>
  <w:p w:rsidR="00A91EBB" w:rsidRPr="0007113F" w:rsidRDefault="00A91EBB" w:rsidP="00602880">
    <w:pPr>
      <w:pStyle w:val="Zaglavlje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Zaglavlje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1BA36150"/>
    <w:multiLevelType w:val="hybridMultilevel"/>
    <w:tmpl w:val="11E85AE8"/>
    <w:lvl w:ilvl="0" w:tplc="EFAE79A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1E75"/>
    <w:multiLevelType w:val="hybridMultilevel"/>
    <w:tmpl w:val="4086A0F4"/>
    <w:lvl w:ilvl="0" w:tplc="EFAE79A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733A"/>
    <w:multiLevelType w:val="hybridMultilevel"/>
    <w:tmpl w:val="D1400AA0"/>
    <w:lvl w:ilvl="0" w:tplc="EFAE79A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5A80"/>
    <w:multiLevelType w:val="hybridMultilevel"/>
    <w:tmpl w:val="EE305AC2"/>
    <w:lvl w:ilvl="0" w:tplc="EFAE79A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1C8"/>
    <w:multiLevelType w:val="hybridMultilevel"/>
    <w:tmpl w:val="B6E88EC0"/>
    <w:lvl w:ilvl="0" w:tplc="EFAE79A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2077E"/>
    <w:multiLevelType w:val="hybridMultilevel"/>
    <w:tmpl w:val="2522D3CE"/>
    <w:lvl w:ilvl="0" w:tplc="EFAE79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0199"/>
    <w:multiLevelType w:val="hybridMultilevel"/>
    <w:tmpl w:val="0D327E5A"/>
    <w:lvl w:ilvl="0" w:tplc="EFAE79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A1AAE"/>
    <w:multiLevelType w:val="hybridMultilevel"/>
    <w:tmpl w:val="65329B86"/>
    <w:lvl w:ilvl="0" w:tplc="EFAE79A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A"/>
    <w:rsid w:val="0000337D"/>
    <w:rsid w:val="00004388"/>
    <w:rsid w:val="000043F3"/>
    <w:rsid w:val="00030F39"/>
    <w:rsid w:val="000337DB"/>
    <w:rsid w:val="000377A6"/>
    <w:rsid w:val="00060422"/>
    <w:rsid w:val="0007113F"/>
    <w:rsid w:val="0009257C"/>
    <w:rsid w:val="000937C7"/>
    <w:rsid w:val="00094FD3"/>
    <w:rsid w:val="000B446F"/>
    <w:rsid w:val="000F6FFD"/>
    <w:rsid w:val="00113D42"/>
    <w:rsid w:val="00115DCE"/>
    <w:rsid w:val="001174D0"/>
    <w:rsid w:val="00140874"/>
    <w:rsid w:val="00143938"/>
    <w:rsid w:val="0014753C"/>
    <w:rsid w:val="00160C0C"/>
    <w:rsid w:val="00170FDF"/>
    <w:rsid w:val="00185DFE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6A5F"/>
    <w:rsid w:val="00367D5D"/>
    <w:rsid w:val="00372B70"/>
    <w:rsid w:val="003741ED"/>
    <w:rsid w:val="003A474E"/>
    <w:rsid w:val="003C6507"/>
    <w:rsid w:val="003D58E7"/>
    <w:rsid w:val="003D6170"/>
    <w:rsid w:val="003E2FC9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0324A"/>
    <w:rsid w:val="005107FF"/>
    <w:rsid w:val="005172B5"/>
    <w:rsid w:val="00541AD2"/>
    <w:rsid w:val="0055579D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5F6BB9"/>
    <w:rsid w:val="00602880"/>
    <w:rsid w:val="0060499C"/>
    <w:rsid w:val="00622D17"/>
    <w:rsid w:val="00625D84"/>
    <w:rsid w:val="00645FA8"/>
    <w:rsid w:val="0064689D"/>
    <w:rsid w:val="0065171D"/>
    <w:rsid w:val="00661BB3"/>
    <w:rsid w:val="00663769"/>
    <w:rsid w:val="0066394A"/>
    <w:rsid w:val="00670EDC"/>
    <w:rsid w:val="00680569"/>
    <w:rsid w:val="00691266"/>
    <w:rsid w:val="006A0FC2"/>
    <w:rsid w:val="006D66DB"/>
    <w:rsid w:val="006D79CD"/>
    <w:rsid w:val="006F11DC"/>
    <w:rsid w:val="0070754E"/>
    <w:rsid w:val="007107F0"/>
    <w:rsid w:val="00711DC3"/>
    <w:rsid w:val="00721B84"/>
    <w:rsid w:val="00730F31"/>
    <w:rsid w:val="007324D2"/>
    <w:rsid w:val="007347F8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42B54"/>
    <w:rsid w:val="0085105A"/>
    <w:rsid w:val="0085318F"/>
    <w:rsid w:val="008533D0"/>
    <w:rsid w:val="00855BCD"/>
    <w:rsid w:val="008822C1"/>
    <w:rsid w:val="00885617"/>
    <w:rsid w:val="008C3178"/>
    <w:rsid w:val="008C32BA"/>
    <w:rsid w:val="008C5BC7"/>
    <w:rsid w:val="008C74ED"/>
    <w:rsid w:val="008E2B49"/>
    <w:rsid w:val="00903B8A"/>
    <w:rsid w:val="0092264D"/>
    <w:rsid w:val="009266E9"/>
    <w:rsid w:val="00931D10"/>
    <w:rsid w:val="0093747E"/>
    <w:rsid w:val="00942246"/>
    <w:rsid w:val="00953F65"/>
    <w:rsid w:val="00962192"/>
    <w:rsid w:val="00974EDE"/>
    <w:rsid w:val="0098650A"/>
    <w:rsid w:val="0099053B"/>
    <w:rsid w:val="009933EC"/>
    <w:rsid w:val="009A3CA6"/>
    <w:rsid w:val="009B2AEE"/>
    <w:rsid w:val="009D3B9D"/>
    <w:rsid w:val="009D5DAD"/>
    <w:rsid w:val="009E7EE3"/>
    <w:rsid w:val="00A111AE"/>
    <w:rsid w:val="00A11923"/>
    <w:rsid w:val="00A257E6"/>
    <w:rsid w:val="00A2755C"/>
    <w:rsid w:val="00A332F3"/>
    <w:rsid w:val="00A42930"/>
    <w:rsid w:val="00A63430"/>
    <w:rsid w:val="00A81883"/>
    <w:rsid w:val="00A91EBB"/>
    <w:rsid w:val="00AB19CA"/>
    <w:rsid w:val="00AB1EB0"/>
    <w:rsid w:val="00AD29CF"/>
    <w:rsid w:val="00AE382C"/>
    <w:rsid w:val="00B039D8"/>
    <w:rsid w:val="00B10E34"/>
    <w:rsid w:val="00B17D4D"/>
    <w:rsid w:val="00B237FF"/>
    <w:rsid w:val="00B32562"/>
    <w:rsid w:val="00B41847"/>
    <w:rsid w:val="00B447CA"/>
    <w:rsid w:val="00B47C07"/>
    <w:rsid w:val="00B50474"/>
    <w:rsid w:val="00B641E0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00C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41E2C"/>
    <w:rsid w:val="00D6238B"/>
    <w:rsid w:val="00D92A1D"/>
    <w:rsid w:val="00DA2A42"/>
    <w:rsid w:val="00DC20DB"/>
    <w:rsid w:val="00DE08C9"/>
    <w:rsid w:val="00DF046C"/>
    <w:rsid w:val="00E01879"/>
    <w:rsid w:val="00E03F2D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E2CEB"/>
    <w:rsid w:val="00EF0403"/>
    <w:rsid w:val="00F16437"/>
    <w:rsid w:val="00F241BB"/>
    <w:rsid w:val="00F267C6"/>
    <w:rsid w:val="00F313D5"/>
    <w:rsid w:val="00F35552"/>
    <w:rsid w:val="00F37C43"/>
    <w:rsid w:val="00F429F9"/>
    <w:rsid w:val="00F50E4C"/>
    <w:rsid w:val="00F5351A"/>
    <w:rsid w:val="00F55504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202DD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Naslov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Naslov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Naslov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rsid w:val="009933EC"/>
    <w:pPr>
      <w:spacing w:after="120"/>
    </w:p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Naslov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Zadanifontodlomka"/>
    <w:semiHidden/>
    <w:rsid w:val="00E47408"/>
    <w:rPr>
      <w:rFonts w:ascii="Arial" w:hAnsi="Arial" w:cs="Arial"/>
      <w:color w:val="auto"/>
      <w:sz w:val="20"/>
      <w:szCs w:val="20"/>
    </w:rPr>
  </w:style>
  <w:style w:type="paragraph" w:styleId="Odlomakpopisa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Tijeloteksta2">
    <w:name w:val="Body Text 2"/>
    <w:basedOn w:val="Normal"/>
    <w:rsid w:val="00B47C07"/>
    <w:pPr>
      <w:spacing w:after="120" w:line="480" w:lineRule="auto"/>
    </w:pPr>
  </w:style>
  <w:style w:type="paragraph" w:styleId="Povratnaomotnica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customStyle="1" w:styleId="Default">
    <w:name w:val="Default"/>
    <w:rsid w:val="007347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7347F8"/>
    <w:pPr>
      <w:overflowPunct/>
      <w:autoSpaceDE/>
      <w:autoSpaceDN/>
      <w:adjustRightInd/>
      <w:jc w:val="center"/>
      <w:textAlignment w:val="auto"/>
    </w:pPr>
    <w:rPr>
      <w:rFonts w:eastAsia="SimSun"/>
      <w:szCs w:val="24"/>
      <w:lang w:eastAsia="en-US"/>
    </w:rPr>
  </w:style>
  <w:style w:type="character" w:customStyle="1" w:styleId="ZaglavljeChar">
    <w:name w:val="Zaglavlje Char"/>
    <w:basedOn w:val="Zadanifontodlomka"/>
    <w:link w:val="Zaglavlje"/>
    <w:rsid w:val="00EE2CEB"/>
    <w:rPr>
      <w:sz w:val="24"/>
    </w:rPr>
  </w:style>
  <w:style w:type="character" w:customStyle="1" w:styleId="PodnojeChar">
    <w:name w:val="Podnožje Char"/>
    <w:basedOn w:val="Zadanifontodlomka"/>
    <w:link w:val="Podnoje"/>
    <w:rsid w:val="00EE2C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uhek@haz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 Reforma autorskog prava u Europskoj uniji_15 10 2020_videokonferencija u HAZU</vt:lpstr>
      <vt:lpstr>OS Reforma autorskog prava u Europskoj uniji_15 10 2020_videokonferencija u HAZU</vt:lpstr>
    </vt:vector>
  </TitlesOfParts>
  <Company>HAZU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Reforma autorskog prava u Europskoj uniji_15 10 2020_videokonferencija u HAZU</dc:title>
  <dc:subject/>
  <dc:creator>HAZU</dc:creator>
  <cp:keywords/>
  <dc:description/>
  <cp:lastModifiedBy>Marijan Lipovac</cp:lastModifiedBy>
  <cp:revision>6</cp:revision>
  <cp:lastPrinted>2019-03-13T13:49:00Z</cp:lastPrinted>
  <dcterms:created xsi:type="dcterms:W3CDTF">2020-10-23T08:54:00Z</dcterms:created>
  <dcterms:modified xsi:type="dcterms:W3CDTF">2020-10-23T09:18:00Z</dcterms:modified>
</cp:coreProperties>
</file>