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07" w:rsidRPr="0061311D" w:rsidRDefault="0061311D" w:rsidP="004F6FA6">
      <w:pPr>
        <w:rPr>
          <w:rFonts w:ascii="Verdana" w:hAnsi="Verdana"/>
          <w:b/>
          <w:sz w:val="22"/>
          <w:szCs w:val="22"/>
        </w:rPr>
      </w:pPr>
      <w:r w:rsidRPr="0061311D">
        <w:rPr>
          <w:rFonts w:ascii="Verdana" w:hAnsi="Verdana"/>
          <w:b/>
          <w:sz w:val="22"/>
          <w:szCs w:val="22"/>
        </w:rPr>
        <w:t>POZIV ZA MEDIJE</w:t>
      </w:r>
    </w:p>
    <w:p w:rsidR="0061311D" w:rsidRPr="0061311D" w:rsidRDefault="0061311D" w:rsidP="004F6FA6">
      <w:pPr>
        <w:rPr>
          <w:rFonts w:ascii="Verdana" w:hAnsi="Verdana"/>
          <w:sz w:val="22"/>
          <w:szCs w:val="22"/>
        </w:rPr>
      </w:pPr>
    </w:p>
    <w:p w:rsidR="0061311D" w:rsidRPr="0061311D" w:rsidRDefault="0061311D" w:rsidP="004F6FA6">
      <w:pPr>
        <w:rPr>
          <w:rFonts w:ascii="Verdana" w:hAnsi="Verdana"/>
          <w:sz w:val="22"/>
          <w:szCs w:val="22"/>
        </w:rPr>
      </w:pPr>
    </w:p>
    <w:p w:rsidR="0061311D" w:rsidRPr="0061311D" w:rsidRDefault="0061311D" w:rsidP="004F6FA6">
      <w:pPr>
        <w:rPr>
          <w:rFonts w:ascii="Verdana" w:hAnsi="Verdana"/>
          <w:sz w:val="22"/>
          <w:szCs w:val="22"/>
        </w:rPr>
      </w:pPr>
      <w:r w:rsidRPr="0061311D">
        <w:rPr>
          <w:rFonts w:ascii="Verdana" w:hAnsi="Verdana"/>
          <w:sz w:val="22"/>
          <w:szCs w:val="22"/>
        </w:rPr>
        <w:t>Poštovane, poštovani,</w:t>
      </w:r>
    </w:p>
    <w:p w:rsidR="0061311D" w:rsidRPr="0061311D" w:rsidRDefault="0061311D" w:rsidP="004F6FA6">
      <w:pPr>
        <w:rPr>
          <w:rFonts w:ascii="Verdana" w:hAnsi="Verdana"/>
          <w:sz w:val="22"/>
          <w:szCs w:val="22"/>
        </w:rPr>
      </w:pPr>
    </w:p>
    <w:p w:rsidR="0061311D" w:rsidRPr="0061311D" w:rsidRDefault="0061311D" w:rsidP="0061311D">
      <w:pPr>
        <w:jc w:val="center"/>
        <w:rPr>
          <w:rFonts w:ascii="Verdana" w:hAnsi="Verdana"/>
          <w:b/>
          <w:sz w:val="22"/>
          <w:szCs w:val="22"/>
        </w:rPr>
      </w:pPr>
      <w:r w:rsidRPr="0061311D">
        <w:rPr>
          <w:rFonts w:ascii="Verdana" w:hAnsi="Verdana"/>
          <w:b/>
          <w:sz w:val="22"/>
          <w:szCs w:val="22"/>
        </w:rPr>
        <w:t>ZNANSTVENO VIJEĆE ZA DRŽAVNU UPRAVU,</w:t>
      </w:r>
    </w:p>
    <w:p w:rsidR="0061311D" w:rsidRPr="0061311D" w:rsidRDefault="0061311D" w:rsidP="0061311D">
      <w:pPr>
        <w:jc w:val="center"/>
        <w:rPr>
          <w:rFonts w:ascii="Verdana" w:hAnsi="Verdana"/>
          <w:b/>
          <w:sz w:val="22"/>
          <w:szCs w:val="22"/>
        </w:rPr>
      </w:pPr>
      <w:r w:rsidRPr="0061311D">
        <w:rPr>
          <w:rFonts w:ascii="Verdana" w:hAnsi="Verdana"/>
          <w:b/>
          <w:sz w:val="22"/>
          <w:szCs w:val="22"/>
        </w:rPr>
        <w:t>PRAVOSUĐE I VLADAVINU PRAVA</w:t>
      </w:r>
    </w:p>
    <w:p w:rsidR="0061311D" w:rsidRPr="0061311D" w:rsidRDefault="0061311D" w:rsidP="0061311D">
      <w:pPr>
        <w:jc w:val="center"/>
        <w:rPr>
          <w:rFonts w:ascii="Verdana" w:hAnsi="Verdana"/>
          <w:sz w:val="22"/>
          <w:szCs w:val="22"/>
        </w:rPr>
      </w:pPr>
      <w:r w:rsidRPr="0061311D">
        <w:rPr>
          <w:rFonts w:ascii="Verdana" w:hAnsi="Verdana"/>
          <w:sz w:val="22"/>
          <w:szCs w:val="22"/>
        </w:rPr>
        <w:t>HRVATSKE AKADEMIJE ZNANOSTI I UMJENTOSTI</w:t>
      </w:r>
    </w:p>
    <w:p w:rsidR="0061311D" w:rsidRPr="0061311D" w:rsidRDefault="0061311D" w:rsidP="0061311D">
      <w:pPr>
        <w:jc w:val="center"/>
        <w:rPr>
          <w:rFonts w:ascii="Verdana" w:hAnsi="Verdana"/>
          <w:sz w:val="22"/>
          <w:szCs w:val="22"/>
        </w:rPr>
      </w:pPr>
    </w:p>
    <w:p w:rsidR="0061311D" w:rsidRPr="0061311D" w:rsidRDefault="0061311D" w:rsidP="0061311D">
      <w:pPr>
        <w:jc w:val="center"/>
        <w:rPr>
          <w:rFonts w:ascii="Verdana" w:hAnsi="Verdana"/>
          <w:sz w:val="22"/>
          <w:szCs w:val="22"/>
        </w:rPr>
      </w:pPr>
      <w:r w:rsidRPr="0061311D">
        <w:rPr>
          <w:rFonts w:ascii="Verdana" w:hAnsi="Verdana"/>
          <w:sz w:val="22"/>
          <w:szCs w:val="22"/>
        </w:rPr>
        <w:t>organizira i poziva Vas na</w:t>
      </w:r>
    </w:p>
    <w:p w:rsidR="0061311D" w:rsidRPr="0061311D" w:rsidRDefault="0061311D" w:rsidP="0061311D">
      <w:pPr>
        <w:jc w:val="center"/>
        <w:rPr>
          <w:rFonts w:ascii="Verdana" w:hAnsi="Verdana"/>
          <w:sz w:val="22"/>
          <w:szCs w:val="22"/>
        </w:rPr>
      </w:pPr>
    </w:p>
    <w:p w:rsidR="0061311D" w:rsidRPr="0061311D" w:rsidRDefault="0061311D" w:rsidP="0061311D">
      <w:pPr>
        <w:jc w:val="center"/>
        <w:rPr>
          <w:rFonts w:ascii="Verdana" w:hAnsi="Verdana"/>
          <w:sz w:val="22"/>
          <w:szCs w:val="22"/>
        </w:rPr>
      </w:pPr>
      <w:r w:rsidRPr="0061311D">
        <w:rPr>
          <w:rFonts w:ascii="Verdana" w:hAnsi="Verdana"/>
          <w:sz w:val="22"/>
          <w:szCs w:val="22"/>
        </w:rPr>
        <w:t>OKRUGLI STOL</w:t>
      </w:r>
    </w:p>
    <w:p w:rsidR="0061311D" w:rsidRPr="0061311D" w:rsidRDefault="0061311D" w:rsidP="0061311D">
      <w:pPr>
        <w:jc w:val="center"/>
        <w:rPr>
          <w:rFonts w:ascii="Verdana" w:hAnsi="Verdana"/>
          <w:b/>
          <w:sz w:val="28"/>
          <w:szCs w:val="28"/>
        </w:rPr>
      </w:pPr>
      <w:r w:rsidRPr="0061311D">
        <w:rPr>
          <w:rFonts w:ascii="Verdana" w:hAnsi="Verdana"/>
          <w:b/>
          <w:sz w:val="28"/>
          <w:szCs w:val="28"/>
        </w:rPr>
        <w:t>JAVNI BILJEŽNICI U EUROPSKOM KONTEKSTU</w:t>
      </w:r>
    </w:p>
    <w:p w:rsidR="0061311D" w:rsidRPr="0061311D" w:rsidRDefault="0061311D" w:rsidP="0061311D">
      <w:pPr>
        <w:jc w:val="center"/>
        <w:rPr>
          <w:rFonts w:ascii="Verdana" w:hAnsi="Verdana"/>
          <w:sz w:val="22"/>
          <w:szCs w:val="22"/>
        </w:rPr>
      </w:pPr>
    </w:p>
    <w:p w:rsidR="0061311D" w:rsidRPr="007E02EC" w:rsidRDefault="0061311D" w:rsidP="007E02EC">
      <w:pPr>
        <w:spacing w:after="120"/>
        <w:jc w:val="center"/>
        <w:rPr>
          <w:rFonts w:ascii="Verdana" w:hAnsi="Verdana"/>
          <w:b/>
          <w:sz w:val="22"/>
          <w:szCs w:val="22"/>
        </w:rPr>
      </w:pPr>
      <w:r w:rsidRPr="007E02EC">
        <w:rPr>
          <w:rFonts w:ascii="Verdana" w:hAnsi="Verdana"/>
          <w:b/>
          <w:sz w:val="22"/>
          <w:szCs w:val="22"/>
        </w:rPr>
        <w:t>srijeda, 23. siječnja 2019. s početkom u 10 sati</w:t>
      </w:r>
    </w:p>
    <w:p w:rsidR="0061311D" w:rsidRPr="0061311D" w:rsidRDefault="0061311D" w:rsidP="0061311D">
      <w:pPr>
        <w:jc w:val="center"/>
        <w:rPr>
          <w:rFonts w:ascii="Verdana" w:hAnsi="Verdana"/>
          <w:sz w:val="22"/>
          <w:szCs w:val="22"/>
        </w:rPr>
      </w:pPr>
      <w:r w:rsidRPr="0061311D">
        <w:rPr>
          <w:rFonts w:ascii="Verdana" w:hAnsi="Verdana"/>
          <w:sz w:val="22"/>
          <w:szCs w:val="22"/>
        </w:rPr>
        <w:t>velika dvorana palače HAZU</w:t>
      </w:r>
      <w:r w:rsidR="007E02EC">
        <w:rPr>
          <w:rFonts w:ascii="Verdana" w:hAnsi="Verdana"/>
          <w:sz w:val="22"/>
          <w:szCs w:val="22"/>
        </w:rPr>
        <w:t xml:space="preserve">, </w:t>
      </w:r>
      <w:r w:rsidRPr="0061311D">
        <w:rPr>
          <w:rFonts w:ascii="Verdana" w:hAnsi="Verdana"/>
          <w:sz w:val="22"/>
          <w:szCs w:val="22"/>
        </w:rPr>
        <w:t>Zrinski trg 11, Zagreb</w:t>
      </w:r>
      <w:bookmarkStart w:id="0" w:name="_GoBack"/>
      <w:bookmarkEnd w:id="0"/>
    </w:p>
    <w:p w:rsidR="0061311D" w:rsidRPr="0061311D" w:rsidRDefault="0061311D" w:rsidP="0061311D">
      <w:pPr>
        <w:jc w:val="center"/>
        <w:rPr>
          <w:rFonts w:ascii="Verdana" w:hAnsi="Verdana"/>
          <w:sz w:val="22"/>
          <w:szCs w:val="22"/>
        </w:rPr>
      </w:pPr>
    </w:p>
    <w:p w:rsidR="0061311D" w:rsidRPr="0061311D" w:rsidRDefault="0061311D" w:rsidP="0061311D">
      <w:pPr>
        <w:jc w:val="center"/>
        <w:rPr>
          <w:rFonts w:ascii="Verdana" w:hAnsi="Verdana"/>
          <w:sz w:val="22"/>
          <w:szCs w:val="22"/>
        </w:rPr>
      </w:pPr>
    </w:p>
    <w:p w:rsidR="0061311D" w:rsidRPr="0061311D" w:rsidRDefault="0061311D" w:rsidP="004F6FA6">
      <w:pPr>
        <w:rPr>
          <w:rFonts w:ascii="Verdana" w:hAnsi="Verdana"/>
          <w:sz w:val="22"/>
          <w:szCs w:val="22"/>
        </w:rPr>
      </w:pPr>
      <w:r w:rsidRPr="0061311D">
        <w:rPr>
          <w:rFonts w:ascii="Verdana" w:hAnsi="Verdana"/>
          <w:sz w:val="22"/>
          <w:szCs w:val="22"/>
        </w:rPr>
        <w:t xml:space="preserve">Rasprava će se voditi na temelju </w:t>
      </w:r>
      <w:r w:rsidRPr="0061311D">
        <w:rPr>
          <w:rFonts w:ascii="Verdana" w:hAnsi="Verdana"/>
          <w:b/>
          <w:sz w:val="22"/>
          <w:szCs w:val="22"/>
        </w:rPr>
        <w:t>uvodnih izlaganja:</w:t>
      </w:r>
      <w:r w:rsidRPr="0061311D">
        <w:rPr>
          <w:rFonts w:ascii="Verdana" w:hAnsi="Verdana"/>
          <w:sz w:val="22"/>
          <w:szCs w:val="22"/>
        </w:rPr>
        <w:t xml:space="preserve"> </w:t>
      </w:r>
    </w:p>
    <w:p w:rsidR="0061311D" w:rsidRPr="0061311D" w:rsidRDefault="0061311D" w:rsidP="0061311D">
      <w:pPr>
        <w:rPr>
          <w:rFonts w:ascii="Verdana" w:hAnsi="Verdana"/>
          <w:sz w:val="22"/>
          <w:szCs w:val="22"/>
        </w:rPr>
      </w:pPr>
    </w:p>
    <w:p w:rsidR="0061311D" w:rsidRPr="0061311D" w:rsidRDefault="0061311D" w:rsidP="0061311D">
      <w:pPr>
        <w:rPr>
          <w:rFonts w:ascii="Verdana" w:hAnsi="Verdana"/>
          <w:sz w:val="22"/>
          <w:szCs w:val="22"/>
        </w:rPr>
      </w:pPr>
      <w:r w:rsidRPr="0061311D">
        <w:rPr>
          <w:rFonts w:ascii="Verdana" w:hAnsi="Verdana"/>
          <w:sz w:val="22"/>
          <w:szCs w:val="22"/>
        </w:rPr>
        <w:t xml:space="preserve">Izv. prof. dr. </w:t>
      </w:r>
      <w:proofErr w:type="spellStart"/>
      <w:r w:rsidRPr="0061311D">
        <w:rPr>
          <w:rFonts w:ascii="Verdana" w:hAnsi="Verdana"/>
          <w:sz w:val="22"/>
          <w:szCs w:val="22"/>
        </w:rPr>
        <w:t>sc</w:t>
      </w:r>
      <w:proofErr w:type="spellEnd"/>
      <w:r w:rsidRPr="0061311D">
        <w:rPr>
          <w:rFonts w:ascii="Verdana" w:hAnsi="Verdana"/>
          <w:sz w:val="22"/>
          <w:szCs w:val="22"/>
        </w:rPr>
        <w:t xml:space="preserve">. </w:t>
      </w:r>
      <w:r w:rsidRPr="0061311D">
        <w:rPr>
          <w:rFonts w:ascii="Verdana" w:hAnsi="Verdana"/>
          <w:b/>
          <w:sz w:val="22"/>
          <w:szCs w:val="22"/>
        </w:rPr>
        <w:t xml:space="preserve">Aleksandra </w:t>
      </w:r>
      <w:proofErr w:type="spellStart"/>
      <w:r w:rsidRPr="0061311D">
        <w:rPr>
          <w:rFonts w:ascii="Verdana" w:hAnsi="Verdana"/>
          <w:b/>
          <w:sz w:val="22"/>
          <w:szCs w:val="22"/>
        </w:rPr>
        <w:t>Maganić</w:t>
      </w:r>
      <w:proofErr w:type="spellEnd"/>
      <w:r w:rsidRPr="0061311D">
        <w:rPr>
          <w:rFonts w:ascii="Verdana" w:hAnsi="Verdana"/>
          <w:sz w:val="22"/>
          <w:szCs w:val="22"/>
        </w:rPr>
        <w:t>, Pravni fakultet Sveučilišta u Zagrebu:</w:t>
      </w:r>
    </w:p>
    <w:p w:rsidR="0061311D" w:rsidRPr="0061311D" w:rsidRDefault="0061311D" w:rsidP="0061311D">
      <w:pPr>
        <w:rPr>
          <w:rFonts w:ascii="Verdana" w:hAnsi="Verdana"/>
          <w:i/>
          <w:sz w:val="22"/>
          <w:szCs w:val="22"/>
        </w:rPr>
      </w:pPr>
      <w:r w:rsidRPr="0061311D">
        <w:rPr>
          <w:rFonts w:ascii="Verdana" w:hAnsi="Verdana"/>
          <w:i/>
          <w:sz w:val="22"/>
          <w:szCs w:val="22"/>
        </w:rPr>
        <w:t xml:space="preserve">Anticipirane naredbe  u hrvatskom pravnom sustavu  </w:t>
      </w:r>
    </w:p>
    <w:p w:rsidR="0061311D" w:rsidRPr="0061311D" w:rsidRDefault="0061311D" w:rsidP="0061311D">
      <w:pPr>
        <w:rPr>
          <w:rFonts w:ascii="Verdana" w:hAnsi="Verdana"/>
          <w:i/>
          <w:sz w:val="22"/>
          <w:szCs w:val="22"/>
        </w:rPr>
      </w:pPr>
    </w:p>
    <w:p w:rsidR="0061311D" w:rsidRPr="0061311D" w:rsidRDefault="0061311D" w:rsidP="0061311D">
      <w:pPr>
        <w:rPr>
          <w:rFonts w:ascii="Verdana" w:hAnsi="Verdana"/>
          <w:sz w:val="22"/>
          <w:szCs w:val="22"/>
        </w:rPr>
      </w:pPr>
      <w:r w:rsidRPr="0061311D">
        <w:rPr>
          <w:rFonts w:ascii="Verdana" w:hAnsi="Verdana"/>
          <w:b/>
          <w:sz w:val="22"/>
          <w:szCs w:val="22"/>
        </w:rPr>
        <w:t xml:space="preserve">Damir </w:t>
      </w:r>
      <w:proofErr w:type="spellStart"/>
      <w:r w:rsidRPr="0061311D">
        <w:rPr>
          <w:rFonts w:ascii="Verdana" w:hAnsi="Verdana"/>
          <w:b/>
          <w:sz w:val="22"/>
          <w:szCs w:val="22"/>
        </w:rPr>
        <w:t>Kontrec</w:t>
      </w:r>
      <w:proofErr w:type="spellEnd"/>
      <w:r w:rsidRPr="0061311D">
        <w:rPr>
          <w:rFonts w:ascii="Verdana" w:hAnsi="Verdana"/>
          <w:sz w:val="22"/>
          <w:szCs w:val="22"/>
        </w:rPr>
        <w:t xml:space="preserve"> predsjednik Građanskog odjela Vrhovnog suda RH:</w:t>
      </w:r>
    </w:p>
    <w:p w:rsidR="0061311D" w:rsidRPr="0061311D" w:rsidRDefault="0061311D" w:rsidP="0061311D">
      <w:pPr>
        <w:rPr>
          <w:rFonts w:ascii="Verdana" w:hAnsi="Verdana"/>
          <w:i/>
          <w:sz w:val="22"/>
          <w:szCs w:val="22"/>
        </w:rPr>
      </w:pPr>
      <w:r w:rsidRPr="0061311D">
        <w:rPr>
          <w:rFonts w:ascii="Verdana" w:hAnsi="Verdana"/>
          <w:i/>
          <w:sz w:val="22"/>
          <w:szCs w:val="22"/>
        </w:rPr>
        <w:t>Izvanparnični postupci i javni bilježnici</w:t>
      </w:r>
    </w:p>
    <w:p w:rsidR="0061311D" w:rsidRPr="0061311D" w:rsidRDefault="0061311D" w:rsidP="0061311D">
      <w:pPr>
        <w:rPr>
          <w:rFonts w:ascii="Verdana" w:hAnsi="Verdana"/>
          <w:sz w:val="22"/>
          <w:szCs w:val="22"/>
        </w:rPr>
      </w:pPr>
    </w:p>
    <w:p w:rsidR="0061311D" w:rsidRPr="0061311D" w:rsidRDefault="0061311D" w:rsidP="0061311D">
      <w:pPr>
        <w:rPr>
          <w:rFonts w:ascii="Verdana" w:hAnsi="Verdana"/>
          <w:sz w:val="22"/>
          <w:szCs w:val="22"/>
        </w:rPr>
      </w:pPr>
      <w:proofErr w:type="spellStart"/>
      <w:r w:rsidRPr="0061311D">
        <w:rPr>
          <w:rFonts w:ascii="Verdana" w:hAnsi="Verdana"/>
          <w:sz w:val="22"/>
          <w:szCs w:val="22"/>
        </w:rPr>
        <w:t>Professor</w:t>
      </w:r>
      <w:proofErr w:type="spellEnd"/>
      <w:r w:rsidRPr="0061311D">
        <w:rPr>
          <w:rFonts w:ascii="Verdana" w:hAnsi="Verdana"/>
          <w:sz w:val="22"/>
          <w:szCs w:val="22"/>
        </w:rPr>
        <w:t xml:space="preserve"> </w:t>
      </w:r>
      <w:proofErr w:type="spellStart"/>
      <w:r w:rsidRPr="0061311D">
        <w:rPr>
          <w:rFonts w:ascii="Verdana" w:hAnsi="Verdana"/>
          <w:sz w:val="22"/>
          <w:szCs w:val="22"/>
        </w:rPr>
        <w:t>emeritus</w:t>
      </w:r>
      <w:proofErr w:type="spellEnd"/>
      <w:r w:rsidRPr="0061311D">
        <w:rPr>
          <w:rFonts w:ascii="Verdana" w:hAnsi="Verdana"/>
          <w:sz w:val="22"/>
          <w:szCs w:val="22"/>
        </w:rPr>
        <w:t xml:space="preserve"> </w:t>
      </w:r>
      <w:r w:rsidRPr="0061311D">
        <w:rPr>
          <w:rFonts w:ascii="Verdana" w:hAnsi="Verdana"/>
          <w:b/>
          <w:sz w:val="22"/>
          <w:szCs w:val="22"/>
        </w:rPr>
        <w:t>Mihajlo Dika</w:t>
      </w:r>
      <w:r w:rsidRPr="0061311D">
        <w:rPr>
          <w:rFonts w:ascii="Verdana" w:hAnsi="Verdana"/>
          <w:sz w:val="22"/>
          <w:szCs w:val="22"/>
        </w:rPr>
        <w:t>, Sveučilište u Zagrebu, Pravni fakultet u Zagrebu:</w:t>
      </w:r>
    </w:p>
    <w:p w:rsidR="0061311D" w:rsidRPr="0061311D" w:rsidRDefault="0061311D" w:rsidP="0061311D">
      <w:pPr>
        <w:rPr>
          <w:rFonts w:ascii="Verdana" w:hAnsi="Verdana"/>
          <w:i/>
          <w:sz w:val="22"/>
          <w:szCs w:val="22"/>
        </w:rPr>
      </w:pPr>
      <w:r w:rsidRPr="0061311D">
        <w:rPr>
          <w:rFonts w:ascii="Verdana" w:hAnsi="Verdana"/>
          <w:i/>
          <w:sz w:val="22"/>
          <w:szCs w:val="22"/>
        </w:rPr>
        <w:t>Javno bilježništvo u Republici Hrvatskoj - stanje i perspektive</w:t>
      </w:r>
    </w:p>
    <w:p w:rsidR="0061311D" w:rsidRPr="0061311D" w:rsidRDefault="0061311D" w:rsidP="0061311D">
      <w:pPr>
        <w:rPr>
          <w:rFonts w:ascii="Verdana" w:hAnsi="Verdana"/>
          <w:sz w:val="22"/>
          <w:szCs w:val="22"/>
        </w:rPr>
      </w:pPr>
    </w:p>
    <w:p w:rsidR="0061311D" w:rsidRPr="0061311D" w:rsidRDefault="0061311D" w:rsidP="0061311D">
      <w:pPr>
        <w:rPr>
          <w:rFonts w:ascii="Verdana" w:hAnsi="Verdana"/>
          <w:sz w:val="22"/>
          <w:szCs w:val="22"/>
        </w:rPr>
      </w:pPr>
      <w:r w:rsidRPr="0061311D">
        <w:rPr>
          <w:rFonts w:ascii="Verdana" w:hAnsi="Verdana"/>
          <w:b/>
          <w:sz w:val="22"/>
          <w:szCs w:val="22"/>
        </w:rPr>
        <w:t>Ljiljana Vodopija Čengić</w:t>
      </w:r>
      <w:r w:rsidRPr="0061311D">
        <w:rPr>
          <w:rFonts w:ascii="Verdana" w:hAnsi="Verdana"/>
          <w:sz w:val="22"/>
          <w:szCs w:val="22"/>
        </w:rPr>
        <w:t>, javna bilježnica u Zagrebu:</w:t>
      </w:r>
    </w:p>
    <w:p w:rsidR="0061311D" w:rsidRPr="0061311D" w:rsidRDefault="0061311D" w:rsidP="0061311D">
      <w:pPr>
        <w:rPr>
          <w:rFonts w:ascii="Verdana" w:hAnsi="Verdana"/>
          <w:sz w:val="22"/>
          <w:szCs w:val="22"/>
        </w:rPr>
      </w:pPr>
      <w:r w:rsidRPr="0061311D">
        <w:rPr>
          <w:rFonts w:ascii="Verdana" w:hAnsi="Verdana"/>
          <w:i/>
          <w:sz w:val="22"/>
          <w:szCs w:val="22"/>
        </w:rPr>
        <w:t>Uredba EU o nasljeđivanju</w:t>
      </w:r>
    </w:p>
    <w:p w:rsidR="0061311D" w:rsidRPr="0061311D" w:rsidRDefault="0061311D" w:rsidP="0061311D">
      <w:pPr>
        <w:rPr>
          <w:rFonts w:ascii="Verdana" w:hAnsi="Verdana"/>
          <w:sz w:val="22"/>
          <w:szCs w:val="22"/>
        </w:rPr>
      </w:pPr>
    </w:p>
    <w:p w:rsidR="0061311D" w:rsidRPr="0061311D" w:rsidRDefault="0061311D" w:rsidP="0061311D">
      <w:pPr>
        <w:rPr>
          <w:rFonts w:ascii="Verdana" w:hAnsi="Verdana"/>
          <w:sz w:val="22"/>
          <w:szCs w:val="22"/>
        </w:rPr>
      </w:pPr>
      <w:r w:rsidRPr="0061311D">
        <w:rPr>
          <w:rFonts w:ascii="Verdana" w:hAnsi="Verdana"/>
          <w:sz w:val="22"/>
          <w:szCs w:val="22"/>
        </w:rPr>
        <w:t xml:space="preserve">Mr. </w:t>
      </w:r>
      <w:proofErr w:type="spellStart"/>
      <w:r w:rsidRPr="0061311D">
        <w:rPr>
          <w:rFonts w:ascii="Verdana" w:hAnsi="Verdana"/>
          <w:sz w:val="22"/>
          <w:szCs w:val="22"/>
        </w:rPr>
        <w:t>sc</w:t>
      </w:r>
      <w:proofErr w:type="spellEnd"/>
      <w:r w:rsidRPr="0061311D">
        <w:rPr>
          <w:rFonts w:ascii="Verdana" w:hAnsi="Verdana"/>
          <w:sz w:val="22"/>
          <w:szCs w:val="22"/>
        </w:rPr>
        <w:t xml:space="preserve">. </w:t>
      </w:r>
      <w:r w:rsidRPr="0061311D">
        <w:rPr>
          <w:rFonts w:ascii="Verdana" w:hAnsi="Verdana"/>
          <w:b/>
          <w:sz w:val="22"/>
          <w:szCs w:val="22"/>
        </w:rPr>
        <w:t xml:space="preserve">Damir </w:t>
      </w:r>
      <w:proofErr w:type="spellStart"/>
      <w:r w:rsidRPr="0061311D">
        <w:rPr>
          <w:rFonts w:ascii="Verdana" w:hAnsi="Verdana"/>
          <w:b/>
          <w:sz w:val="22"/>
          <w:szCs w:val="22"/>
        </w:rPr>
        <w:t>Kaufman</w:t>
      </w:r>
      <w:proofErr w:type="spellEnd"/>
      <w:r w:rsidRPr="0061311D">
        <w:rPr>
          <w:rFonts w:ascii="Verdana" w:hAnsi="Verdana"/>
          <w:sz w:val="22"/>
          <w:szCs w:val="22"/>
        </w:rPr>
        <w:t>, glavni tajnik u Ministarstvu gospodarstva, poduzetništva i obrta RH:</w:t>
      </w:r>
    </w:p>
    <w:p w:rsidR="0061311D" w:rsidRPr="0061311D" w:rsidRDefault="0061311D" w:rsidP="0061311D">
      <w:pPr>
        <w:jc w:val="both"/>
        <w:rPr>
          <w:rFonts w:ascii="Verdana" w:hAnsi="Verdana"/>
          <w:i/>
          <w:sz w:val="22"/>
          <w:szCs w:val="22"/>
        </w:rPr>
      </w:pPr>
      <w:r w:rsidRPr="0061311D">
        <w:rPr>
          <w:rFonts w:ascii="Verdana" w:hAnsi="Verdana"/>
          <w:i/>
          <w:sz w:val="22"/>
          <w:szCs w:val="22"/>
        </w:rPr>
        <w:t>Jedinstveni informacijski sustav za pokretanje poslovanja (START)</w:t>
      </w:r>
    </w:p>
    <w:p w:rsidR="0061311D" w:rsidRPr="0061311D" w:rsidRDefault="0061311D" w:rsidP="0061311D">
      <w:pPr>
        <w:rPr>
          <w:rFonts w:ascii="Verdana" w:hAnsi="Verdana"/>
          <w:sz w:val="22"/>
          <w:szCs w:val="22"/>
        </w:rPr>
      </w:pPr>
    </w:p>
    <w:p w:rsidR="0061311D" w:rsidRPr="0061311D" w:rsidRDefault="0061311D" w:rsidP="0061311D">
      <w:pPr>
        <w:rPr>
          <w:rFonts w:ascii="Verdana" w:hAnsi="Verdana"/>
          <w:sz w:val="22"/>
          <w:szCs w:val="22"/>
        </w:rPr>
      </w:pPr>
      <w:proofErr w:type="spellStart"/>
      <w:r w:rsidRPr="0061311D">
        <w:rPr>
          <w:rFonts w:ascii="Verdana" w:hAnsi="Verdana"/>
          <w:b/>
          <w:sz w:val="22"/>
          <w:szCs w:val="22"/>
        </w:rPr>
        <w:t>Alexander</w:t>
      </w:r>
      <w:proofErr w:type="spellEnd"/>
      <w:r w:rsidRPr="0061311D">
        <w:rPr>
          <w:rFonts w:ascii="Verdana" w:hAnsi="Verdana"/>
          <w:b/>
          <w:sz w:val="22"/>
          <w:szCs w:val="22"/>
        </w:rPr>
        <w:t xml:space="preserve"> </w:t>
      </w:r>
      <w:proofErr w:type="spellStart"/>
      <w:r w:rsidRPr="0061311D">
        <w:rPr>
          <w:rFonts w:ascii="Verdana" w:hAnsi="Verdana"/>
          <w:b/>
          <w:sz w:val="22"/>
          <w:szCs w:val="22"/>
        </w:rPr>
        <w:t>Winkler</w:t>
      </w:r>
      <w:proofErr w:type="spellEnd"/>
      <w:r w:rsidRPr="0061311D">
        <w:rPr>
          <w:rFonts w:ascii="Verdana" w:hAnsi="Verdana"/>
          <w:sz w:val="22"/>
          <w:szCs w:val="22"/>
        </w:rPr>
        <w:t>, Austrijska notarska komora:</w:t>
      </w:r>
    </w:p>
    <w:p w:rsidR="0061311D" w:rsidRPr="0061311D" w:rsidRDefault="0061311D" w:rsidP="0061311D">
      <w:pPr>
        <w:rPr>
          <w:rFonts w:ascii="Verdana" w:hAnsi="Verdana"/>
          <w:i/>
          <w:sz w:val="22"/>
          <w:szCs w:val="22"/>
        </w:rPr>
      </w:pPr>
      <w:r w:rsidRPr="0061311D">
        <w:rPr>
          <w:rFonts w:ascii="Verdana" w:hAnsi="Verdana"/>
          <w:i/>
          <w:sz w:val="22"/>
          <w:szCs w:val="22"/>
        </w:rPr>
        <w:t>Elektronički javnobilježnički oblik prema austrijskom pravu</w:t>
      </w:r>
    </w:p>
    <w:p w:rsidR="0061311D" w:rsidRPr="0061311D" w:rsidRDefault="0061311D" w:rsidP="004F6FA6">
      <w:pPr>
        <w:rPr>
          <w:rFonts w:ascii="Verdana" w:hAnsi="Verdana"/>
          <w:sz w:val="22"/>
          <w:szCs w:val="22"/>
        </w:rPr>
      </w:pPr>
    </w:p>
    <w:p w:rsid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Uvodna izlaganja i rasprava snimat će se i nakon autorizacije objaviti u 49. knjizi nakladničkog niza Znanstvenog vijeća </w:t>
      </w:r>
      <w:r w:rsidRPr="0061311D">
        <w:rPr>
          <w:rFonts w:ascii="Verdana" w:hAnsi="Verdana"/>
          <w:i/>
          <w:iCs/>
          <w:sz w:val="22"/>
          <w:szCs w:val="22"/>
        </w:rPr>
        <w:t>Modernizacija prava</w:t>
      </w:r>
      <w:r w:rsidRPr="0061311D">
        <w:rPr>
          <w:rFonts w:ascii="Verdana" w:hAnsi="Verdana"/>
          <w:sz w:val="22"/>
          <w:szCs w:val="22"/>
        </w:rPr>
        <w:t>.</w:t>
      </w:r>
    </w:p>
    <w:p w:rsidR="007E02EC" w:rsidRDefault="0061311D" w:rsidP="007E02EC">
      <w:pPr>
        <w:spacing w:after="120" w:line="320" w:lineRule="exact"/>
        <w:jc w:val="both"/>
        <w:rPr>
          <w:rFonts w:ascii="Verdana" w:hAnsi="Verdana"/>
          <w:sz w:val="22"/>
          <w:szCs w:val="22"/>
        </w:rPr>
        <w:sectPr w:rsidR="007E02EC" w:rsidSect="007E02EC">
          <w:headerReference w:type="default" r:id="rId8"/>
          <w:footerReference w:type="default" r:id="rId9"/>
          <w:pgSz w:w="11906" w:h="16838" w:code="9"/>
          <w:pgMar w:top="1276" w:right="1418" w:bottom="993" w:left="1418" w:header="567" w:footer="397" w:gutter="0"/>
          <w:cols w:space="708"/>
        </w:sectPr>
      </w:pPr>
      <w:r w:rsidRPr="0061311D">
        <w:rPr>
          <w:rFonts w:ascii="Verdana" w:hAnsi="Verdana"/>
          <w:sz w:val="22"/>
          <w:szCs w:val="22"/>
        </w:rPr>
        <w:t xml:space="preserve">Javni su bilježnici u odnosu na druge pravničke profesije predvodnici digitalizacije pravnih procedura. Od početka 2018.g. u svojem radu koriste sofisticiranu aplikaciju za rad </w:t>
      </w:r>
      <w:proofErr w:type="spellStart"/>
      <w:r w:rsidRPr="0061311D">
        <w:rPr>
          <w:rFonts w:ascii="Verdana" w:hAnsi="Verdana"/>
          <w:sz w:val="22"/>
          <w:szCs w:val="22"/>
        </w:rPr>
        <w:t>eNotar</w:t>
      </w:r>
      <w:proofErr w:type="spellEnd"/>
      <w:r w:rsidRPr="0061311D">
        <w:rPr>
          <w:rFonts w:ascii="Verdana" w:hAnsi="Verdana"/>
          <w:sz w:val="22"/>
          <w:szCs w:val="22"/>
        </w:rPr>
        <w:t>, kojom se osigurava i visoka razina zaštite osobnih podataka sukladno Uredbi EU o zaštiti osobnih podataka i koja u sebi sadrži tehničke mogućnosti za uspostavu digitalne arhive javnobilježničkih isprava. Tako za elektroničko poslovanje svi javni bilježnici imaju osiguran kvalificirani elektronički potpis.</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lastRenderedPageBreak/>
        <w:t xml:space="preserve">Hrvatska javnobilježnička komora vodi u elektroničkom obliku Hrvatski upisnik oporuka, Registar zadužnica i bjanko zadužnica i kao posljednji, Registar anticipiranih naredbi i punomoći prema Zakonu o zaštiti osoba s duševnim smetnjama. </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Anticipirane naredbe su izjave kojima davatelj izjave uređuje određene odnose u budućnosti. Daju se u zakonom propisanom obliku pred javnim bilježnikom koji sastavlja odgovarajuće isprave i strankama objašnjava pravne posljedice. Tako davatelj izjave prema Obiteljskom zakonu može odrediti skrbnika maloljetnog djeteta za slučaj svoje smrti, posebnog skrbnika ili dati anticipirane naredbe o određenim medicinskim postupcima. Prema Zakonu o zaštiti osoba s duševnim smetnjama tako se određuje osoba od povjerenja koja će biti ovlaštena dati ili uskratiti suglasnosti na određene medicinske postupke. Zakon o zaštiti osoba s duševnim smetnjama propisuje vođenje registra a statistički podaci ukazuju na porast primjene ovog pravnog instituta u praksi.</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Javni su bilježnici povjerenici suda u ostavinskom postupku i donose rješenja o nasljeđivanju. Riječ je o izvanparničnom postupku propisanom Zakonom o nasljeđivanju. Povjeravanje navedenog postupka javnim bilježnicima, kao nespornog, izvanparničnog postupka uvelike je pridonijelo rasterećenju sudova i ubrzanju postupka. Javni bilježnici od 2015. primjenjuju Uredbu o nasljeđivanju i donose europske potvrde o nasljeđivanju. U tijeku je rad na izradi novog Zakona o izvanparničnom postupku temeljem kojeg bi javni bilježnici paralelno sa sudovima bili uključeni u provođenje pojedinih izvanparničnih postupka.     </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Javni bilježnici više od sedam godina predlažu nadležnom ministarstvu uvođenje sustava e-ovrhe na temelju vjerodostojne isprave što se sada predlaže kao zakonsko rješenje. Postupak bi kao povjerenici suda vodili javni bilježnici. O novinama koje to donosi u odnosu na sadašnji postupak bit će riječi na Okruglom stolu. </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Godinama u nas djeluje sustav E-tvrtka tako da javni bilježnici elektronički dostavljaju prijave i priloge za upis osnivanja društva s ograničenom odgovornošću u sudski registar. Taj je projekt elektroničkog osnivanja trgovačkih društava bio svojevremeno nagrađen za najbolji koncept usluge registracije tvrtke. U elektroničkom osnivanju trgovačkih društava događaju se promjene. Ministarstvo gospodarstva, poduzetništva i obrta nositelj je projekta skraćeno nazvanog START, kojemu je cilj omogućiti strankama pokretanje poslovanja putem interneta. Navedeni projekt predviđa strategija Vlade RH za uvođenje elektroničkog osnivanja trgovačkih društava, što bi bila platforma za povezivanje svih dionika u postupku pokretanja poslovanja. Riječ je o sofisticiranoj elektroničkoj usluzi horizontalnog tipa za sve građane.</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Europska komisija Aneksom II Direktive 2017/1132 od 14. lipnja 2017. o osnivanju društava elektroničkim putem i Prijedlogom direktive Europskog Parlamenta i Vijeća  o izmjeni Direktive (EU) 2017/1132 u pogledu upotrebe digitalnih alata i postupaka u pravu društava COM (2018) 239 </w:t>
      </w:r>
      <w:proofErr w:type="spellStart"/>
      <w:r w:rsidRPr="0061311D">
        <w:rPr>
          <w:rFonts w:ascii="Verdana" w:hAnsi="Verdana"/>
          <w:sz w:val="22"/>
          <w:szCs w:val="22"/>
        </w:rPr>
        <w:t>final</w:t>
      </w:r>
      <w:proofErr w:type="spellEnd"/>
      <w:r w:rsidRPr="0061311D">
        <w:rPr>
          <w:rFonts w:ascii="Verdana" w:hAnsi="Verdana"/>
          <w:sz w:val="22"/>
          <w:szCs w:val="22"/>
        </w:rPr>
        <w:t xml:space="preserve"> od 24. travnja  2018  predviđa da pojedine države članice, sukladno svojim pravnim tradicijama, uključe javne </w:t>
      </w:r>
      <w:r w:rsidRPr="0061311D">
        <w:rPr>
          <w:rFonts w:ascii="Verdana" w:hAnsi="Verdana"/>
          <w:sz w:val="22"/>
          <w:szCs w:val="22"/>
        </w:rPr>
        <w:lastRenderedPageBreak/>
        <w:t xml:space="preserve">bilježnike u postupke elektroničkog osnivanja društava. Predviđa se pokretanje cjelokupnog poslovanja u roku od tri dana. </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U pogledu drugih elektroničkih postupaka valja navesti da javni bilježnici na zahtjev stranaka  od travnja 2017.g. podnose prijedloge za elektronički upis u zemljišne knjige, a od 1. siječnja 2017. g. i e-poreznu prijavu u poreznim predmetima određenim propisima.  </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Digitalizacija sama po sebi nije cilj nego sredstvo za ukupni napredak poslovanja. Pritom bi moralo biti najvažnije  da ona ne smije biti na štetu pravne sigurnosti. Potrebno je voditi se načelom razmjernosti, odnosno procijeniti kod svakog postupka koristi od uvođenja digitalnog postupka i rizika pravne (ne)sigurnosti koju bi takav postupak mogao izazvati. Procjena pojave tog rizika svela bi se na pitanje koji se procesi mogu stvarno unaprijediti, odnosno koji su podobni da se u cijelosti digitaliziraju kako bi se osigurao zadovoljavajući stupanj pravne sigurnosti.</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U svim digitaliziranim postupcima  mora se na nesumnjiv način  identificirati stranke, utvrditi hoće li neke isprave ipak morati biti skenirane, kako će  osnivači elektronički potpisivati isprave i tko će certificirati elektroničke potpise. Pored utvrđivanja istovjetnosti stranaka i ponekad  kompleksnog utvrđivanja njihovih ovlaštenja za zastupanje (putem punomoći, izvadaka iz registara) potrebno je takvim postupcima objediniti pravno savjetovanje, utvrđivanje prave i ozbiljne volje stranaka za svaki pravni posao, kao i osigurati valjani oblik i sadržaj isprava te poduzeti mjere za sprječavanje pranja novca i financiranja terorizma, što u konačnici znači i odgovornost prema strankama i državi za učinjen posao. Iako su predvodnici u korištenju digitalnih alata i postupaka, javni bilježnici još uvijek nemaju zakonsku podlogu za sastavljanje elektroničke javnobilježničke isprave sukladno Zakonu o javnom bilježništvu te uspostavu digitalne arhive javnobilježničkih isprava.</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Među poredbenopravnim primjerima ističe se austrijsko iskustvo. U Republici Austriji postoje propisi kojima se uređuju elektronička javnobilježnička isprava i digitalna arhiva. Austrijski se model oslanja na sigurne videokonferencijske sustave kojima se premošćuje fizička odvojenost stranke od javnog bilježnika. Ovo je vrlo napredno tehničko rješenje,  jedno od najmodernijih dostignuća na tom području. Koristi se za sklapanje  javnobilježničkog akta o osnivanju društva, što kao mogućnost, a ne obvezu propisuje i Prijedlog direktive Europskog Parlamenta i Vijeća  o izmjeni Direktive (EU) 2017/1132 u pogledu upotrebe digitalnih alata i postupaka u pravu društava COM (2018) 239 </w:t>
      </w:r>
      <w:proofErr w:type="spellStart"/>
      <w:r w:rsidRPr="0061311D">
        <w:rPr>
          <w:rFonts w:ascii="Verdana" w:hAnsi="Verdana"/>
          <w:sz w:val="22"/>
          <w:szCs w:val="22"/>
        </w:rPr>
        <w:t>final</w:t>
      </w:r>
      <w:proofErr w:type="spellEnd"/>
      <w:r w:rsidRPr="0061311D">
        <w:rPr>
          <w:rFonts w:ascii="Verdana" w:hAnsi="Verdana"/>
          <w:sz w:val="22"/>
          <w:szCs w:val="22"/>
        </w:rPr>
        <w:t xml:space="preserve"> od 24. travnja  2018. Austrijska iskustva mogla bi korisno poslužiti i hrvatskom zakonodavcu</w:t>
      </w:r>
      <w:r w:rsidR="007E02EC">
        <w:rPr>
          <w:rFonts w:ascii="Verdana" w:hAnsi="Verdana"/>
          <w:sz w:val="22"/>
          <w:szCs w:val="22"/>
        </w:rPr>
        <w:t>.</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Pri uvođenju novih digitalnih alata i postupaka ne treba se olako odricati pravnih profesionalaca (javnih bilježnika i odvjetnika) koji jamče potrebnu razinu pravne sigurnosti  na području cijele Republike Hrvatske i time osiguravaju strankama potrebnu dostupnost. To bi bilo jamstvo bržeg postupanja sudova jer bi prema javnim registrima oni upućivali valjane isprave. Bez toga će osobe koje nisu pravno i elektronički educirane, a žele pokrenuti posao, biti izložene pojedincima </w:t>
      </w:r>
      <w:r w:rsidRPr="0061311D">
        <w:rPr>
          <w:rFonts w:ascii="Verdana" w:hAnsi="Verdana"/>
          <w:sz w:val="22"/>
          <w:szCs w:val="22"/>
        </w:rPr>
        <w:lastRenderedPageBreak/>
        <w:t xml:space="preserve">(nadripisarima) koji će bez sigurnosti u pravni okvir i evidencije o naplati usluge to obavljati za njih. Pitanje je hoće li to  značiti i ubrzanje postupaka. Stoga javni bilježnici u digitalnim procesima nisu problem nego mogu biti rješenje problema. </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 xml:space="preserve">Pored opće pravne sigurnosti, ova pitanja imaju i političku dimenziju zbog ugleda Republike Hrvatske u Europskoj uniji. Važna je okolnost činjenica da neuredne prijave i prijedlozi za upise u pojedine registre, koji budu odbijeni od nadležnog suda, mogu  ulaganjem pravnog lijeka prerasti u postupke pred Sudom Europske unije protiv Republike Hrvatske. Najbolji primjer je usporedba zemljišnih knjiga i sudskog registra i važnost odgovarajuće stručne podrške kod sastavljanja javnih isprava. </w:t>
      </w:r>
    </w:p>
    <w:p w:rsidR="0061311D" w:rsidRPr="0061311D" w:rsidRDefault="0061311D" w:rsidP="007E02EC">
      <w:pPr>
        <w:spacing w:after="120" w:line="320" w:lineRule="exact"/>
        <w:jc w:val="both"/>
        <w:rPr>
          <w:rFonts w:ascii="Verdana" w:hAnsi="Verdana"/>
          <w:sz w:val="22"/>
          <w:szCs w:val="22"/>
        </w:rPr>
      </w:pPr>
      <w:r w:rsidRPr="0061311D">
        <w:rPr>
          <w:rFonts w:ascii="Verdana" w:hAnsi="Verdana"/>
          <w:sz w:val="22"/>
          <w:szCs w:val="22"/>
        </w:rPr>
        <w:t>Preuzimanje obveza koje proizlaze iz direktiva EU i odgovarajućeg nacionalnog zakonodavstva prilika je da se javni bilježnici dokažu kao učinkovito i ekonomično rješenje za građane i državu.</w:t>
      </w:r>
    </w:p>
    <w:p w:rsidR="007E02EC" w:rsidRDefault="007E02EC" w:rsidP="007E02EC">
      <w:pPr>
        <w:spacing w:after="120" w:line="320" w:lineRule="exact"/>
        <w:jc w:val="both"/>
        <w:rPr>
          <w:rFonts w:ascii="Verdana" w:hAnsi="Verdana"/>
          <w:sz w:val="22"/>
          <w:szCs w:val="22"/>
        </w:rPr>
      </w:pPr>
    </w:p>
    <w:p w:rsidR="0061311D" w:rsidRDefault="007E02EC" w:rsidP="007E02EC">
      <w:pPr>
        <w:spacing w:after="120" w:line="320" w:lineRule="exact"/>
        <w:jc w:val="both"/>
        <w:rPr>
          <w:rFonts w:ascii="Verdana" w:hAnsi="Verdana"/>
          <w:sz w:val="22"/>
          <w:szCs w:val="22"/>
        </w:rPr>
      </w:pPr>
      <w:r>
        <w:rPr>
          <w:rFonts w:ascii="Verdana" w:hAnsi="Verdana"/>
          <w:sz w:val="22"/>
          <w:szCs w:val="22"/>
        </w:rPr>
        <w:t>Srdačno Vas pozdravljamo, zahvaljujemo na suradnji i očekujemo Vaš dolazak.</w:t>
      </w:r>
    </w:p>
    <w:p w:rsidR="007E02EC" w:rsidRDefault="007E02EC" w:rsidP="007E02EC">
      <w:pPr>
        <w:spacing w:after="120" w:line="320" w:lineRule="exact"/>
        <w:jc w:val="right"/>
        <w:rPr>
          <w:rFonts w:ascii="Verdana" w:hAnsi="Verdana"/>
          <w:sz w:val="22"/>
          <w:szCs w:val="22"/>
        </w:rPr>
      </w:pPr>
      <w:r w:rsidRPr="007E02EC">
        <w:rPr>
          <w:rFonts w:ascii="Verdana" w:hAnsi="Verdana"/>
          <w:sz w:val="22"/>
          <w:szCs w:val="22"/>
        </w:rPr>
        <w:t>Gordana Poletto Ružić</w:t>
      </w:r>
    </w:p>
    <w:p w:rsidR="007E02EC" w:rsidRPr="0061311D" w:rsidRDefault="007E02EC" w:rsidP="007E02EC">
      <w:pPr>
        <w:spacing w:after="120" w:line="320" w:lineRule="exact"/>
        <w:jc w:val="right"/>
        <w:rPr>
          <w:rFonts w:ascii="Verdana" w:hAnsi="Verdana"/>
          <w:sz w:val="22"/>
          <w:szCs w:val="22"/>
        </w:rPr>
      </w:pPr>
      <w:r>
        <w:rPr>
          <w:rFonts w:ascii="Verdana" w:hAnsi="Verdana"/>
          <w:sz w:val="22"/>
          <w:szCs w:val="22"/>
        </w:rPr>
        <w:t>Ured za odnose s javnošću i medije HAZU</w:t>
      </w:r>
    </w:p>
    <w:sectPr w:rsidR="007E02EC" w:rsidRPr="0061311D" w:rsidSect="007E02EC">
      <w:headerReference w:type="default" r:id="rId10"/>
      <w:footerReference w:type="default" r:id="rId11"/>
      <w:pgSz w:w="11906" w:h="16838" w:code="9"/>
      <w:pgMar w:top="1276" w:right="1418" w:bottom="993" w:left="1418" w:header="567" w:footer="3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61" w:rsidRDefault="00762D61">
      <w:r>
        <w:separator/>
      </w:r>
    </w:p>
  </w:endnote>
  <w:endnote w:type="continuationSeparator" w:id="0">
    <w:p w:rsidR="00762D61" w:rsidRDefault="007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BB" w:rsidRPr="0007113F" w:rsidRDefault="00A91EBB" w:rsidP="005172B5">
    <w:pPr>
      <w:pStyle w:val="Footer"/>
      <w:jc w:val="center"/>
      <w:rPr>
        <w:rFonts w:ascii="Calisto MT" w:hAnsi="Calisto MT" w:cs="Tahoma"/>
        <w:color w:val="323232"/>
        <w:spacing w:val="10"/>
        <w:sz w:val="18"/>
        <w:szCs w:val="18"/>
      </w:rPr>
    </w:pPr>
    <w:r w:rsidRPr="0007113F">
      <w:rPr>
        <w:rFonts w:ascii="Calisto MT" w:hAnsi="Calisto MT" w:cs="Tahoma"/>
        <w:color w:val="323232"/>
        <w:spacing w:val="10"/>
        <w:sz w:val="18"/>
        <w:szCs w:val="18"/>
      </w:rPr>
      <w:t>Trg Nikole Šubi</w:t>
    </w:r>
    <w:r w:rsidRPr="0007113F">
      <w:rPr>
        <w:rFonts w:ascii="Cambria" w:hAnsi="Cambria" w:cs="Tahoma"/>
        <w:color w:val="323232"/>
        <w:spacing w:val="10"/>
        <w:sz w:val="18"/>
        <w:szCs w:val="18"/>
      </w:rPr>
      <w:t>ć</w:t>
    </w:r>
    <w:r w:rsidRPr="0007113F">
      <w:rPr>
        <w:rFonts w:ascii="Calisto MT" w:hAnsi="Calisto MT" w:cs="Tahoma"/>
        <w:color w:val="323232"/>
        <w:spacing w:val="10"/>
        <w:sz w:val="18"/>
        <w:szCs w:val="18"/>
      </w:rPr>
      <w:t>a Zrinskog 11, HR-10000 Zagreb - www.hazu.hr - telefon: +385 1 4895 111 -</w:t>
    </w:r>
  </w:p>
  <w:p w:rsidR="00A91EBB" w:rsidRPr="0007113F" w:rsidRDefault="00A91EBB" w:rsidP="005172B5">
    <w:pPr>
      <w:pStyle w:val="Footer"/>
      <w:jc w:val="center"/>
      <w:rPr>
        <w:rFonts w:ascii="Calisto MT" w:hAnsi="Calisto MT" w:cs="Tahoma"/>
        <w:color w:val="323232"/>
        <w:spacing w:val="10"/>
        <w:sz w:val="18"/>
        <w:szCs w:val="18"/>
      </w:rPr>
    </w:pPr>
    <w:r w:rsidRPr="0007113F">
      <w:rPr>
        <w:rFonts w:ascii="Calisto MT" w:hAnsi="Calisto MT" w:cs="Tahoma"/>
        <w:color w:val="323232"/>
        <w:spacing w:val="10"/>
        <w:sz w:val="18"/>
        <w:szCs w:val="18"/>
      </w:rPr>
      <w:t>telefaks: +385 1  4819 979 - e-adresa: kabpred@hazu.hr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EC" w:rsidRPr="007E02EC" w:rsidRDefault="007E02EC" w:rsidP="007E02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61" w:rsidRDefault="00762D61">
      <w:r>
        <w:separator/>
      </w:r>
    </w:p>
  </w:footnote>
  <w:footnote w:type="continuationSeparator" w:id="0">
    <w:p w:rsidR="00762D61" w:rsidRDefault="00762D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BB" w:rsidRDefault="004F6FA6" w:rsidP="005172B5">
    <w:pPr>
      <w:pStyle w:val="Header"/>
      <w:jc w:val="center"/>
      <w:rPr>
        <w:noProof/>
        <w:sz w:val="20"/>
      </w:rPr>
    </w:pPr>
    <w:r>
      <w:rPr>
        <w:noProof/>
      </w:rPr>
      <w:drawing>
        <wp:anchor distT="0" distB="0" distL="114300" distR="114300" simplePos="0" relativeHeight="251657728" behindDoc="1" locked="0" layoutInCell="1" allowOverlap="1">
          <wp:simplePos x="0" y="0"/>
          <wp:positionH relativeFrom="column">
            <wp:posOffset>2389505</wp:posOffset>
          </wp:positionH>
          <wp:positionV relativeFrom="paragraph">
            <wp:posOffset>62230</wp:posOffset>
          </wp:positionV>
          <wp:extent cx="866775" cy="914400"/>
          <wp:effectExtent l="0" t="0" r="0" b="0"/>
          <wp:wrapTight wrapText="bothSides">
            <wp:wrapPolygon edited="0">
              <wp:start x="0" y="0"/>
              <wp:lineTo x="0" y="21150"/>
              <wp:lineTo x="21363" y="21150"/>
              <wp:lineTo x="21363" y="0"/>
              <wp:lineTo x="0" y="0"/>
            </wp:wrapPolygon>
          </wp:wrapTight>
          <wp:docPr id="8" name="Picture 8"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pic:cNvPicPr>
                    <a:picLocks noChangeAspect="1" noChangeArrowheads="1"/>
                  </pic:cNvPicPr>
                </pic:nvPicPr>
                <pic:blipFill>
                  <a:blip r:embed="rId1">
                    <a:lum bright="-12000" contrast="42000"/>
                    <a:extLst>
                      <a:ext uri="{28A0092B-C50C-407E-A947-70E740481C1C}">
                        <a14:useLocalDpi xmlns:a14="http://schemas.microsoft.com/office/drawing/2010/main" val="0"/>
                      </a:ext>
                    </a:extLst>
                  </a:blip>
                  <a:srcRect l="43239" r="41557"/>
                  <a:stretch>
                    <a:fillRect/>
                  </a:stretch>
                </pic:blipFill>
                <pic:spPr bwMode="auto">
                  <a:xfrm>
                    <a:off x="0" y="0"/>
                    <a:ext cx="8667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EBB" w:rsidRDefault="00A91EBB" w:rsidP="005172B5">
    <w:pPr>
      <w:pStyle w:val="Header"/>
      <w:jc w:val="center"/>
    </w:pPr>
  </w:p>
  <w:p w:rsidR="00A91EBB" w:rsidRPr="0007113F" w:rsidRDefault="00A91EBB" w:rsidP="00602880">
    <w:pPr>
      <w:pStyle w:val="Header"/>
      <w:tabs>
        <w:tab w:val="clear" w:pos="4153"/>
      </w:tabs>
      <w:ind w:left="709"/>
      <w:rPr>
        <w:color w:val="323232"/>
      </w:rPr>
    </w:pPr>
    <w:r w:rsidRPr="0007113F">
      <w:rPr>
        <w:color w:val="323232"/>
      </w:rPr>
      <w:t>HRVATSKA AKADEMIJA                               CROATIAN ACADEMY</w:t>
    </w:r>
  </w:p>
  <w:p w:rsidR="00A91EBB" w:rsidRPr="0007113F" w:rsidRDefault="00A91EBB" w:rsidP="00602880">
    <w:pPr>
      <w:pStyle w:val="Header"/>
      <w:ind w:left="567"/>
      <w:rPr>
        <w:color w:val="323232"/>
      </w:rPr>
    </w:pPr>
    <w:r w:rsidRPr="0007113F">
      <w:rPr>
        <w:color w:val="323232"/>
      </w:rPr>
      <w:t>ZNANOSTI I UMJETNOSTI                                OF SCIENCES AND ARTS</w:t>
    </w:r>
  </w:p>
  <w:p w:rsidR="00A91EBB" w:rsidRDefault="00A91EBB" w:rsidP="005172B5">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EC" w:rsidRDefault="007E02EC" w:rsidP="005172B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775"/>
    <w:multiLevelType w:val="hybridMultilevel"/>
    <w:tmpl w:val="7B248004"/>
    <w:lvl w:ilvl="0" w:tplc="16867F96">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67D82"/>
    <w:multiLevelType w:val="hybridMultilevel"/>
    <w:tmpl w:val="A70E69B8"/>
    <w:lvl w:ilvl="0" w:tplc="6E8666DC">
      <w:start w:val="2"/>
      <w:numFmt w:val="decimal"/>
      <w:lvlText w:val="%1."/>
      <w:lvlJc w:val="left"/>
      <w:pPr>
        <w:tabs>
          <w:tab w:val="num" w:pos="394"/>
        </w:tabs>
        <w:ind w:left="394" w:hanging="360"/>
      </w:pPr>
      <w:rPr>
        <w:rFonts w:hint="default"/>
      </w:rPr>
    </w:lvl>
    <w:lvl w:ilvl="1" w:tplc="041A0019" w:tentative="1">
      <w:start w:val="1"/>
      <w:numFmt w:val="lowerLetter"/>
      <w:lvlText w:val="%2."/>
      <w:lvlJc w:val="left"/>
      <w:pPr>
        <w:tabs>
          <w:tab w:val="num" w:pos="1114"/>
        </w:tabs>
        <w:ind w:left="1114" w:hanging="360"/>
      </w:pPr>
    </w:lvl>
    <w:lvl w:ilvl="2" w:tplc="041A001B" w:tentative="1">
      <w:start w:val="1"/>
      <w:numFmt w:val="lowerRoman"/>
      <w:lvlText w:val="%3."/>
      <w:lvlJc w:val="right"/>
      <w:pPr>
        <w:tabs>
          <w:tab w:val="num" w:pos="1834"/>
        </w:tabs>
        <w:ind w:left="1834" w:hanging="180"/>
      </w:pPr>
    </w:lvl>
    <w:lvl w:ilvl="3" w:tplc="041A000F" w:tentative="1">
      <w:start w:val="1"/>
      <w:numFmt w:val="decimal"/>
      <w:lvlText w:val="%4."/>
      <w:lvlJc w:val="left"/>
      <w:pPr>
        <w:tabs>
          <w:tab w:val="num" w:pos="2554"/>
        </w:tabs>
        <w:ind w:left="2554" w:hanging="360"/>
      </w:pPr>
    </w:lvl>
    <w:lvl w:ilvl="4" w:tplc="041A0019" w:tentative="1">
      <w:start w:val="1"/>
      <w:numFmt w:val="lowerLetter"/>
      <w:lvlText w:val="%5."/>
      <w:lvlJc w:val="left"/>
      <w:pPr>
        <w:tabs>
          <w:tab w:val="num" w:pos="3274"/>
        </w:tabs>
        <w:ind w:left="3274" w:hanging="360"/>
      </w:pPr>
    </w:lvl>
    <w:lvl w:ilvl="5" w:tplc="041A001B" w:tentative="1">
      <w:start w:val="1"/>
      <w:numFmt w:val="lowerRoman"/>
      <w:lvlText w:val="%6."/>
      <w:lvlJc w:val="right"/>
      <w:pPr>
        <w:tabs>
          <w:tab w:val="num" w:pos="3994"/>
        </w:tabs>
        <w:ind w:left="3994" w:hanging="180"/>
      </w:pPr>
    </w:lvl>
    <w:lvl w:ilvl="6" w:tplc="041A000F" w:tentative="1">
      <w:start w:val="1"/>
      <w:numFmt w:val="decimal"/>
      <w:lvlText w:val="%7."/>
      <w:lvlJc w:val="left"/>
      <w:pPr>
        <w:tabs>
          <w:tab w:val="num" w:pos="4714"/>
        </w:tabs>
        <w:ind w:left="4714" w:hanging="360"/>
      </w:pPr>
    </w:lvl>
    <w:lvl w:ilvl="7" w:tplc="041A0019" w:tentative="1">
      <w:start w:val="1"/>
      <w:numFmt w:val="lowerLetter"/>
      <w:lvlText w:val="%8."/>
      <w:lvlJc w:val="left"/>
      <w:pPr>
        <w:tabs>
          <w:tab w:val="num" w:pos="5434"/>
        </w:tabs>
        <w:ind w:left="5434" w:hanging="360"/>
      </w:pPr>
    </w:lvl>
    <w:lvl w:ilvl="8" w:tplc="041A001B" w:tentative="1">
      <w:start w:val="1"/>
      <w:numFmt w:val="lowerRoman"/>
      <w:lvlText w:val="%9."/>
      <w:lvlJc w:val="right"/>
      <w:pPr>
        <w:tabs>
          <w:tab w:val="num" w:pos="6154"/>
        </w:tabs>
        <w:ind w:left="6154" w:hanging="180"/>
      </w:pPr>
    </w:lvl>
  </w:abstractNum>
  <w:abstractNum w:abstractNumId="2" w15:restartNumberingAfterBreak="0">
    <w:nsid w:val="53E412BB"/>
    <w:multiLevelType w:val="hybridMultilevel"/>
    <w:tmpl w:val="FD1EF27A"/>
    <w:lvl w:ilvl="0" w:tplc="F1388B78">
      <w:start w:val="100"/>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6539A2"/>
    <w:multiLevelType w:val="hybridMultilevel"/>
    <w:tmpl w:val="51467CE6"/>
    <w:lvl w:ilvl="0" w:tplc="EFEE12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F85759"/>
    <w:multiLevelType w:val="hybridMultilevel"/>
    <w:tmpl w:val="C7CA1FD0"/>
    <w:lvl w:ilvl="0" w:tplc="0409000F">
      <w:start w:val="1"/>
      <w:numFmt w:val="decimal"/>
      <w:lvlText w:val="%1."/>
      <w:lvlJc w:val="left"/>
      <w:pPr>
        <w:tabs>
          <w:tab w:val="num" w:pos="720"/>
        </w:tabs>
        <w:ind w:left="720" w:hanging="360"/>
      </w:pPr>
      <w:rPr>
        <w:rFonts w:hint="default"/>
      </w:rPr>
    </w:lvl>
    <w:lvl w:ilvl="1" w:tplc="E5CECB92">
      <w:start w:val="8"/>
      <w:numFmt w:val="bullet"/>
      <w:lvlText w:val="-"/>
      <w:lvlJc w:val="left"/>
      <w:pPr>
        <w:tabs>
          <w:tab w:val="num" w:pos="1440"/>
        </w:tabs>
        <w:ind w:left="1440" w:hanging="360"/>
      </w:pPr>
      <w:rPr>
        <w:rFonts w:ascii="Calibri" w:eastAsia="Times New Roman" w:hAnsi="Calibri"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CA"/>
    <w:rsid w:val="0000337D"/>
    <w:rsid w:val="00004388"/>
    <w:rsid w:val="000043F3"/>
    <w:rsid w:val="000337DB"/>
    <w:rsid w:val="000377A6"/>
    <w:rsid w:val="00060422"/>
    <w:rsid w:val="0007113F"/>
    <w:rsid w:val="0009257C"/>
    <w:rsid w:val="000937C7"/>
    <w:rsid w:val="00094FD3"/>
    <w:rsid w:val="000B446F"/>
    <w:rsid w:val="00113D42"/>
    <w:rsid w:val="00115DCE"/>
    <w:rsid w:val="001174D0"/>
    <w:rsid w:val="00134D4F"/>
    <w:rsid w:val="00140874"/>
    <w:rsid w:val="00143938"/>
    <w:rsid w:val="00160C0C"/>
    <w:rsid w:val="00170FDF"/>
    <w:rsid w:val="00192E3C"/>
    <w:rsid w:val="0019689D"/>
    <w:rsid w:val="00196F77"/>
    <w:rsid w:val="001A2B7E"/>
    <w:rsid w:val="001C2659"/>
    <w:rsid w:val="001C77E1"/>
    <w:rsid w:val="001D2AE5"/>
    <w:rsid w:val="00223E9E"/>
    <w:rsid w:val="002335DA"/>
    <w:rsid w:val="002440A3"/>
    <w:rsid w:val="0025530F"/>
    <w:rsid w:val="00294579"/>
    <w:rsid w:val="002A4313"/>
    <w:rsid w:val="002B28DF"/>
    <w:rsid w:val="002B7C20"/>
    <w:rsid w:val="002C53D8"/>
    <w:rsid w:val="002D0B12"/>
    <w:rsid w:val="002D6695"/>
    <w:rsid w:val="002E0777"/>
    <w:rsid w:val="002F0251"/>
    <w:rsid w:val="002F4FC9"/>
    <w:rsid w:val="00300205"/>
    <w:rsid w:val="00301DD3"/>
    <w:rsid w:val="00304255"/>
    <w:rsid w:val="00307501"/>
    <w:rsid w:val="0031178F"/>
    <w:rsid w:val="00315EB9"/>
    <w:rsid w:val="00321342"/>
    <w:rsid w:val="00321B3E"/>
    <w:rsid w:val="00332903"/>
    <w:rsid w:val="00345BAF"/>
    <w:rsid w:val="00346183"/>
    <w:rsid w:val="003472CA"/>
    <w:rsid w:val="00347D4B"/>
    <w:rsid w:val="00347E23"/>
    <w:rsid w:val="0035588E"/>
    <w:rsid w:val="00361169"/>
    <w:rsid w:val="00367D5D"/>
    <w:rsid w:val="00372B70"/>
    <w:rsid w:val="003741ED"/>
    <w:rsid w:val="003A474E"/>
    <w:rsid w:val="003C6507"/>
    <w:rsid w:val="003D58E7"/>
    <w:rsid w:val="003D6170"/>
    <w:rsid w:val="003E7225"/>
    <w:rsid w:val="004136A7"/>
    <w:rsid w:val="00420713"/>
    <w:rsid w:val="004341AA"/>
    <w:rsid w:val="00444550"/>
    <w:rsid w:val="00446962"/>
    <w:rsid w:val="0047260A"/>
    <w:rsid w:val="00474D4B"/>
    <w:rsid w:val="0047511B"/>
    <w:rsid w:val="00480E6C"/>
    <w:rsid w:val="0048212B"/>
    <w:rsid w:val="004A61FD"/>
    <w:rsid w:val="004B14A9"/>
    <w:rsid w:val="004E2B9E"/>
    <w:rsid w:val="004F6FA6"/>
    <w:rsid w:val="005107FF"/>
    <w:rsid w:val="005172B5"/>
    <w:rsid w:val="00541AD2"/>
    <w:rsid w:val="00555A4D"/>
    <w:rsid w:val="0056658D"/>
    <w:rsid w:val="00571573"/>
    <w:rsid w:val="005831CE"/>
    <w:rsid w:val="005A17C1"/>
    <w:rsid w:val="005B4B3E"/>
    <w:rsid w:val="005C3E9B"/>
    <w:rsid w:val="005C50F2"/>
    <w:rsid w:val="005E6F64"/>
    <w:rsid w:val="005F657A"/>
    <w:rsid w:val="005F6587"/>
    <w:rsid w:val="00602880"/>
    <w:rsid w:val="0060499C"/>
    <w:rsid w:val="0061311D"/>
    <w:rsid w:val="00625D84"/>
    <w:rsid w:val="0064689D"/>
    <w:rsid w:val="0065171D"/>
    <w:rsid w:val="00663769"/>
    <w:rsid w:val="0066394A"/>
    <w:rsid w:val="00670EDC"/>
    <w:rsid w:val="006A0FC2"/>
    <w:rsid w:val="006D66DB"/>
    <w:rsid w:val="006D79CD"/>
    <w:rsid w:val="0070754E"/>
    <w:rsid w:val="007107F0"/>
    <w:rsid w:val="00711DC3"/>
    <w:rsid w:val="00721B84"/>
    <w:rsid w:val="007324D2"/>
    <w:rsid w:val="00742165"/>
    <w:rsid w:val="00762D61"/>
    <w:rsid w:val="00763702"/>
    <w:rsid w:val="00780586"/>
    <w:rsid w:val="007C4814"/>
    <w:rsid w:val="007D14A3"/>
    <w:rsid w:val="007D46DD"/>
    <w:rsid w:val="007E02EC"/>
    <w:rsid w:val="007E228C"/>
    <w:rsid w:val="00805327"/>
    <w:rsid w:val="00820112"/>
    <w:rsid w:val="00821F63"/>
    <w:rsid w:val="00824F82"/>
    <w:rsid w:val="00827D26"/>
    <w:rsid w:val="0085105A"/>
    <w:rsid w:val="0085318F"/>
    <w:rsid w:val="008533D0"/>
    <w:rsid w:val="00855BCD"/>
    <w:rsid w:val="00885617"/>
    <w:rsid w:val="008C32BA"/>
    <w:rsid w:val="008C74ED"/>
    <w:rsid w:val="00903B8A"/>
    <w:rsid w:val="0092264D"/>
    <w:rsid w:val="009266E9"/>
    <w:rsid w:val="00931D10"/>
    <w:rsid w:val="0093747E"/>
    <w:rsid w:val="00942246"/>
    <w:rsid w:val="00953F65"/>
    <w:rsid w:val="00962192"/>
    <w:rsid w:val="0098650A"/>
    <w:rsid w:val="0099053B"/>
    <w:rsid w:val="009933EC"/>
    <w:rsid w:val="009A3CA6"/>
    <w:rsid w:val="009D3B9D"/>
    <w:rsid w:val="009E7EE3"/>
    <w:rsid w:val="00A11923"/>
    <w:rsid w:val="00A257E6"/>
    <w:rsid w:val="00A2755C"/>
    <w:rsid w:val="00A332F3"/>
    <w:rsid w:val="00A42930"/>
    <w:rsid w:val="00A81883"/>
    <w:rsid w:val="00A91EBB"/>
    <w:rsid w:val="00AB19CA"/>
    <w:rsid w:val="00AB1EB0"/>
    <w:rsid w:val="00AD29CF"/>
    <w:rsid w:val="00AE382C"/>
    <w:rsid w:val="00B10E34"/>
    <w:rsid w:val="00B17D4D"/>
    <w:rsid w:val="00B32562"/>
    <w:rsid w:val="00B41847"/>
    <w:rsid w:val="00B447CA"/>
    <w:rsid w:val="00B47C07"/>
    <w:rsid w:val="00B71BCB"/>
    <w:rsid w:val="00B72358"/>
    <w:rsid w:val="00B731B3"/>
    <w:rsid w:val="00B852AA"/>
    <w:rsid w:val="00BB7932"/>
    <w:rsid w:val="00BC25F5"/>
    <w:rsid w:val="00BD26CA"/>
    <w:rsid w:val="00C13B11"/>
    <w:rsid w:val="00C24998"/>
    <w:rsid w:val="00C43CD4"/>
    <w:rsid w:val="00C84023"/>
    <w:rsid w:val="00C922A1"/>
    <w:rsid w:val="00CA2E6D"/>
    <w:rsid w:val="00CB01B0"/>
    <w:rsid w:val="00CC38C7"/>
    <w:rsid w:val="00CC4AD3"/>
    <w:rsid w:val="00CD5F25"/>
    <w:rsid w:val="00CE642D"/>
    <w:rsid w:val="00D056EF"/>
    <w:rsid w:val="00D17CD0"/>
    <w:rsid w:val="00D21CD0"/>
    <w:rsid w:val="00D25376"/>
    <w:rsid w:val="00D30C96"/>
    <w:rsid w:val="00D34B4E"/>
    <w:rsid w:val="00D6238B"/>
    <w:rsid w:val="00D92A1D"/>
    <w:rsid w:val="00DA2A42"/>
    <w:rsid w:val="00DC20DB"/>
    <w:rsid w:val="00DE08C9"/>
    <w:rsid w:val="00DF046C"/>
    <w:rsid w:val="00E01879"/>
    <w:rsid w:val="00E14405"/>
    <w:rsid w:val="00E17931"/>
    <w:rsid w:val="00E17D4F"/>
    <w:rsid w:val="00E37C3E"/>
    <w:rsid w:val="00E41C53"/>
    <w:rsid w:val="00E47408"/>
    <w:rsid w:val="00E52A66"/>
    <w:rsid w:val="00E61FF3"/>
    <w:rsid w:val="00E746BC"/>
    <w:rsid w:val="00E747D5"/>
    <w:rsid w:val="00E859D8"/>
    <w:rsid w:val="00E97FCB"/>
    <w:rsid w:val="00EA280D"/>
    <w:rsid w:val="00EA2C65"/>
    <w:rsid w:val="00EB1957"/>
    <w:rsid w:val="00EC77E1"/>
    <w:rsid w:val="00EF0403"/>
    <w:rsid w:val="00F16437"/>
    <w:rsid w:val="00F241BB"/>
    <w:rsid w:val="00F267C6"/>
    <w:rsid w:val="00F313D5"/>
    <w:rsid w:val="00F37C43"/>
    <w:rsid w:val="00F429F9"/>
    <w:rsid w:val="00F50E4C"/>
    <w:rsid w:val="00F5351A"/>
    <w:rsid w:val="00F636C5"/>
    <w:rsid w:val="00F65374"/>
    <w:rsid w:val="00F66B11"/>
    <w:rsid w:val="00F749B7"/>
    <w:rsid w:val="00FC4E93"/>
    <w:rsid w:val="00FE1F5C"/>
    <w:rsid w:val="00FE6696"/>
    <w:rsid w:val="00FF36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6C7C1"/>
  <w15:chartTrackingRefBased/>
  <w15:docId w15:val="{0BAD1CBA-62EA-4723-B89C-58988397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C84023"/>
    <w:pPr>
      <w:keepNext/>
      <w:overflowPunct/>
      <w:autoSpaceDE/>
      <w:autoSpaceDN/>
      <w:adjustRightInd/>
      <w:jc w:val="center"/>
      <w:textAlignment w:val="auto"/>
      <w:outlineLvl w:val="0"/>
    </w:pPr>
    <w:rPr>
      <w:b/>
      <w:i/>
      <w:sz w:val="28"/>
      <w:lang w:eastAsia="en-US"/>
    </w:rPr>
  </w:style>
  <w:style w:type="paragraph" w:styleId="Heading2">
    <w:name w:val="heading 2"/>
    <w:basedOn w:val="Normal"/>
    <w:next w:val="Normal"/>
    <w:qFormat/>
    <w:rsid w:val="00C84023"/>
    <w:pPr>
      <w:keepNext/>
      <w:overflowPunct/>
      <w:autoSpaceDE/>
      <w:autoSpaceDN/>
      <w:adjustRightInd/>
      <w:jc w:val="center"/>
      <w:textAlignment w:val="auto"/>
      <w:outlineLvl w:val="1"/>
    </w:pPr>
    <w:rPr>
      <w:lang w:val="en-US" w:eastAsia="en-US"/>
    </w:rPr>
  </w:style>
  <w:style w:type="paragraph" w:styleId="Heading3">
    <w:name w:val="heading 3"/>
    <w:basedOn w:val="Normal"/>
    <w:next w:val="Normal"/>
    <w:qFormat/>
    <w:rsid w:val="00C84023"/>
    <w:pPr>
      <w:keepNext/>
      <w:overflowPunct/>
      <w:autoSpaceDE/>
      <w:autoSpaceDN/>
      <w:adjustRightInd/>
      <w:jc w:val="center"/>
      <w:textAlignment w:val="auto"/>
      <w:outlineLvl w:val="2"/>
    </w:pPr>
    <w:rPr>
      <w:b/>
      <w:lang w:val="en-GB" w:eastAsia="en-US"/>
    </w:rPr>
  </w:style>
  <w:style w:type="paragraph" w:styleId="Heading5">
    <w:name w:val="heading 5"/>
    <w:basedOn w:val="Normal"/>
    <w:next w:val="Normal"/>
    <w:qFormat/>
    <w:rsid w:val="00F37C43"/>
    <w:pPr>
      <w:spacing w:before="240" w:after="60"/>
      <w:outlineLvl w:val="4"/>
    </w:pPr>
    <w:rPr>
      <w:b/>
      <w:bCs/>
      <w:i/>
      <w:iCs/>
      <w:sz w:val="26"/>
      <w:szCs w:val="26"/>
    </w:rPr>
  </w:style>
  <w:style w:type="paragraph" w:styleId="Heading7">
    <w:name w:val="heading 7"/>
    <w:basedOn w:val="Normal"/>
    <w:next w:val="Normal"/>
    <w:qFormat/>
    <w:rsid w:val="00F37C43"/>
    <w:pPr>
      <w:spacing w:before="240" w:after="60"/>
      <w:outlineLvl w:val="6"/>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overflowPunct/>
      <w:autoSpaceDE/>
      <w:autoSpaceDN/>
      <w:adjustRightInd/>
      <w:ind w:left="2160" w:firstLine="720"/>
      <w:textAlignment w:val="auto"/>
    </w:pPr>
    <w:rPr>
      <w:sz w:val="28"/>
      <w:szCs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
    <w:name w:val="Body Text"/>
    <w:basedOn w:val="Normal"/>
    <w:rsid w:val="009933EC"/>
    <w:pPr>
      <w:spacing w:after="120"/>
    </w:pPr>
  </w:style>
  <w:style w:type="character" w:styleId="FollowedHyperlink">
    <w:name w:val="FollowedHyperlink"/>
    <w:basedOn w:val="DefaultParagraphFont"/>
    <w:rPr>
      <w:color w:val="800080"/>
      <w:u w:val="single"/>
    </w:rPr>
  </w:style>
  <w:style w:type="paragraph" w:customStyle="1" w:styleId="NaslovTh2">
    <w:name w:val="NaslovTh2"/>
    <w:basedOn w:val="Normal"/>
    <w:rsid w:val="00C84023"/>
    <w:pPr>
      <w:tabs>
        <w:tab w:val="left" w:pos="284"/>
        <w:tab w:val="center" w:pos="3544"/>
        <w:tab w:val="right" w:pos="7088"/>
      </w:tabs>
      <w:overflowPunct/>
      <w:autoSpaceDE/>
      <w:autoSpaceDN/>
      <w:adjustRightInd/>
      <w:spacing w:before="1200" w:after="480"/>
      <w:jc w:val="center"/>
      <w:textAlignment w:val="auto"/>
    </w:pPr>
    <w:rPr>
      <w:b/>
      <w:caps/>
      <w:spacing w:val="30"/>
      <w:sz w:val="28"/>
      <w:lang w:val="en-GB" w:eastAsia="en-US"/>
    </w:rPr>
  </w:style>
  <w:style w:type="paragraph" w:styleId="Title">
    <w:name w:val="Title"/>
    <w:basedOn w:val="Normal"/>
    <w:qFormat/>
    <w:rsid w:val="00C84023"/>
    <w:pPr>
      <w:tabs>
        <w:tab w:val="left" w:pos="284"/>
        <w:tab w:val="center" w:pos="4111"/>
        <w:tab w:val="right" w:pos="8505"/>
      </w:tabs>
      <w:overflowPunct/>
      <w:autoSpaceDE/>
      <w:autoSpaceDN/>
      <w:adjustRightInd/>
      <w:spacing w:after="120"/>
      <w:jc w:val="center"/>
      <w:textAlignment w:val="auto"/>
    </w:pPr>
    <w:rPr>
      <w:b/>
      <w:caps/>
      <w:lang w:eastAsia="en-US"/>
    </w:rPr>
  </w:style>
  <w:style w:type="character" w:customStyle="1" w:styleId="GPolettoRui">
    <w:name w:val="G Poletto Ružić"/>
    <w:basedOn w:val="DefaultParagraphFont"/>
    <w:semiHidden/>
    <w:rsid w:val="00E47408"/>
    <w:rPr>
      <w:rFonts w:ascii="Arial" w:hAnsi="Arial" w:cs="Arial"/>
      <w:color w:val="auto"/>
      <w:sz w:val="20"/>
      <w:szCs w:val="20"/>
    </w:rPr>
  </w:style>
  <w:style w:type="paragraph" w:styleId="ListParagraph">
    <w:name w:val="List Paragraph"/>
    <w:basedOn w:val="Normal"/>
    <w:qFormat/>
    <w:rsid w:val="00711DC3"/>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BodyText2">
    <w:name w:val="Body Text 2"/>
    <w:basedOn w:val="Normal"/>
    <w:rsid w:val="00B47C07"/>
    <w:pPr>
      <w:spacing w:after="120" w:line="480" w:lineRule="auto"/>
    </w:pPr>
  </w:style>
  <w:style w:type="paragraph" w:styleId="EnvelopeReturn">
    <w:name w:val="envelope return"/>
    <w:basedOn w:val="Normal"/>
    <w:rsid w:val="00B47C07"/>
    <w:pPr>
      <w:overflowPunct/>
      <w:autoSpaceDE/>
      <w:autoSpaceDN/>
      <w:adjustRightInd/>
      <w:textAlignment w:val="auto"/>
    </w:pPr>
    <w:rPr>
      <w:rFonts w:ascii="Arial" w:hAnsi="Arial" w:cs="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esimir%20Keler\My%20Documents\HAZU\Memorandu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BBADE-641A-48E8-9572-01D6EA87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Memorandum.doc.dot</Template>
  <TotalTime>23</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Memorandum HAZU</vt:lpstr>
    </vt:vector>
  </TitlesOfParts>
  <Company>HAZU</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Javni biljeznici u europskom kontekstu_HAZU_23_01_2019</dc:title>
  <dc:subject/>
  <dc:creator>HAZU</dc:creator>
  <cp:keywords/>
  <dc:description/>
  <cp:lastModifiedBy>Gordana Poletto Ružić</cp:lastModifiedBy>
  <cp:revision>4</cp:revision>
  <cp:lastPrinted>2019-01-08T10:08:00Z</cp:lastPrinted>
  <dcterms:created xsi:type="dcterms:W3CDTF">2019-01-08T10:08:00Z</dcterms:created>
  <dcterms:modified xsi:type="dcterms:W3CDTF">2019-01-08T10:35:00Z</dcterms:modified>
</cp:coreProperties>
</file>